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2CE7A403" w:rsidR="00D53C74" w:rsidRPr="00513297" w:rsidRDefault="008860B3" w:rsidP="00D53C74">
      <w:pPr>
        <w:spacing w:after="0" w:line="240" w:lineRule="auto"/>
        <w:jc w:val="center"/>
        <w:rPr>
          <w:rFonts w:ascii="Tahoma" w:hAnsi="Tahoma" w:cs="Tahoma"/>
          <w:b/>
        </w:rPr>
      </w:pPr>
      <w:r>
        <w:rPr>
          <w:rFonts w:ascii="Tahoma" w:hAnsi="Tahoma" w:cs="Tahoma"/>
          <w:b/>
        </w:rPr>
        <w:t>DIF-016</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225CFAE4" w:rsidR="00D53C74" w:rsidRPr="00D55EDE" w:rsidRDefault="00D53C74" w:rsidP="00D53C74">
      <w:pPr>
        <w:spacing w:after="0"/>
        <w:jc w:val="center"/>
        <w:rPr>
          <w:rFonts w:ascii="Tahoma" w:hAnsi="Tahoma" w:cs="Tahoma"/>
          <w:b/>
        </w:rPr>
      </w:pPr>
      <w:r>
        <w:rPr>
          <w:rFonts w:ascii="Tahoma" w:hAnsi="Tahoma" w:cs="Tahoma"/>
          <w:b/>
        </w:rPr>
        <w:t xml:space="preserve">ADQUISICIÓN DE </w:t>
      </w:r>
      <w:r w:rsidR="008860B3">
        <w:rPr>
          <w:rFonts w:ascii="Tahoma" w:hAnsi="Tahoma" w:cs="Tahoma"/>
          <w:b/>
        </w:rPr>
        <w:t>APARTADOS AUXILIARES</w:t>
      </w:r>
      <w:r w:rsidR="00171DBF">
        <w:rPr>
          <w:rFonts w:ascii="Tahoma" w:hAnsi="Tahoma" w:cs="Tahoma"/>
          <w:b/>
        </w:rPr>
        <w:t xml:space="preserve"> </w:t>
      </w:r>
      <w:r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2D6191">
        <w:rPr>
          <w:rFonts w:ascii="Tahoma" w:hAnsi="Tahoma" w:cs="Tahoma"/>
          <w:b/>
        </w:rPr>
        <w:t xml:space="preserve"> A</w:t>
      </w:r>
      <w:r w:rsidR="0044415A">
        <w:rPr>
          <w:rFonts w:ascii="Tahoma" w:hAnsi="Tahoma" w:cs="Tahoma"/>
          <w:b/>
        </w:rPr>
        <w:t xml:space="preserve"> TIEMPO RECORTADO</w:t>
      </w:r>
    </w:p>
    <w:p w14:paraId="45525F90" w14:textId="77777777" w:rsidR="000B16A4" w:rsidRDefault="000B16A4" w:rsidP="000B16A4">
      <w:pPr>
        <w:spacing w:after="0" w:line="240" w:lineRule="auto"/>
        <w:jc w:val="center"/>
        <w:rPr>
          <w:rFonts w:ascii="Arial" w:hAnsi="Arial" w:cs="Arial"/>
          <w:b/>
        </w:rPr>
      </w:pPr>
    </w:p>
    <w:p w14:paraId="4A63A080" w14:textId="1F4093AD"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8860B3">
        <w:rPr>
          <w:rFonts w:ascii="Tahoma" w:hAnsi="Tahoma" w:cs="Tahoma"/>
          <w:b/>
        </w:rPr>
        <w:t>DIF-016</w:t>
      </w:r>
      <w:r w:rsidRPr="00D55EDE">
        <w:rPr>
          <w:rFonts w:ascii="Tahoma" w:hAnsi="Tahoma" w:cs="Tahoma"/>
          <w:b/>
        </w:rPr>
        <w:t>/</w:t>
      </w:r>
      <w:r w:rsidR="008860B3" w:rsidRPr="00D55EDE">
        <w:rPr>
          <w:rFonts w:ascii="Tahoma" w:hAnsi="Tahoma" w:cs="Tahoma"/>
          <w:b/>
        </w:rPr>
        <w:t>2021</w:t>
      </w:r>
      <w:r w:rsidR="008860B3" w:rsidRPr="00171DBF">
        <w:rPr>
          <w:rFonts w:ascii="Tahoma" w:hAnsi="Tahoma" w:cs="Tahoma"/>
          <w:b/>
        </w:rPr>
        <w:t xml:space="preserve"> </w:t>
      </w:r>
      <w:r w:rsidR="008860B3" w:rsidRPr="008860B3">
        <w:rPr>
          <w:rFonts w:ascii="Tahoma" w:hAnsi="Tahoma" w:cs="Tahoma"/>
          <w:b/>
        </w:rPr>
        <w:t>ADQUISICIÓN DE APARTADOS AUXILIARES PARA EL “SISTEMA PARA EL DESARROLLO INTEGRAL DE LA FAMILIA DE TLAJOMULCO DE ZÚÑIGA, JALISCO” A TIEMPO RECORTADO</w:t>
      </w:r>
      <w:r w:rsidR="008860B3">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145094CA" w:rsidR="000B16A4" w:rsidRPr="0059248E" w:rsidRDefault="00D53C74" w:rsidP="00BB3DE9">
            <w:pPr>
              <w:spacing w:after="0"/>
              <w:jc w:val="both"/>
              <w:rPr>
                <w:rFonts w:ascii="Arial" w:hAnsi="Arial" w:cs="Arial"/>
              </w:rPr>
            </w:pPr>
            <w:r>
              <w:rPr>
                <w:rFonts w:ascii="Arial" w:hAnsi="Arial" w:cs="Arial"/>
              </w:rPr>
              <w:t>DIF/</w:t>
            </w:r>
            <w:r w:rsidR="008860B3">
              <w:rPr>
                <w:rFonts w:ascii="Arial" w:hAnsi="Arial" w:cs="Arial"/>
              </w:rPr>
              <w:t>016</w:t>
            </w:r>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4AEF848E" w:rsidR="00FE423D" w:rsidRDefault="00FE423D" w:rsidP="00A77CAF">
            <w:pPr>
              <w:spacing w:after="0"/>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6C98EF7C" w:rsidR="00FE423D" w:rsidRPr="0059248E" w:rsidRDefault="00486161" w:rsidP="005269E2">
            <w:pPr>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6901A497" w:rsidR="00FE423D" w:rsidRPr="0059248E" w:rsidRDefault="00782E89" w:rsidP="00DA5DBA">
            <w:pPr>
              <w:jc w:val="both"/>
              <w:rPr>
                <w:rFonts w:ascii="Arial" w:hAnsi="Arial" w:cs="Arial"/>
                <w:color w:val="000000"/>
              </w:rPr>
            </w:pPr>
            <w:r>
              <w:rPr>
                <w:rFonts w:ascii="Arial" w:hAnsi="Arial" w:cs="Arial"/>
                <w:color w:val="000000"/>
              </w:rPr>
              <w:t>Hasta el Lunes</w:t>
            </w:r>
            <w:r w:rsidR="00FE423D">
              <w:rPr>
                <w:rFonts w:ascii="Arial" w:hAnsi="Arial" w:cs="Arial"/>
                <w:color w:val="000000"/>
              </w:rPr>
              <w:t xml:space="preserve"> </w:t>
            </w:r>
            <w:r w:rsidR="002833C4">
              <w:rPr>
                <w:rFonts w:ascii="Arial" w:hAnsi="Arial" w:cs="Arial"/>
                <w:b/>
                <w:color w:val="000000"/>
              </w:rPr>
              <w:t>06</w:t>
            </w:r>
            <w:r w:rsidR="00FE423D" w:rsidRPr="00612520">
              <w:rPr>
                <w:rFonts w:ascii="Arial" w:hAnsi="Arial" w:cs="Arial"/>
                <w:b/>
                <w:color w:val="000000"/>
              </w:rPr>
              <w:t xml:space="preserve"> </w:t>
            </w:r>
            <w:r w:rsidR="00FE423D" w:rsidRPr="0059248E">
              <w:rPr>
                <w:rFonts w:ascii="Arial" w:hAnsi="Arial" w:cs="Arial"/>
                <w:b/>
                <w:color w:val="000000"/>
              </w:rPr>
              <w:t xml:space="preserve">de </w:t>
            </w:r>
            <w:r w:rsidR="002833C4">
              <w:rPr>
                <w:rFonts w:ascii="Arial" w:hAnsi="Arial" w:cs="Arial"/>
                <w:b/>
                <w:color w:val="000000"/>
              </w:rPr>
              <w:t>Diciembre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01AD973B" w:rsidR="00FE423D" w:rsidRPr="0059248E" w:rsidRDefault="00782E89" w:rsidP="002833C4">
            <w:pPr>
              <w:jc w:val="both"/>
              <w:rPr>
                <w:rFonts w:ascii="Arial" w:hAnsi="Arial" w:cs="Arial"/>
                <w:color w:val="000000"/>
              </w:rPr>
            </w:pPr>
            <w:r>
              <w:rPr>
                <w:rFonts w:ascii="Arial" w:hAnsi="Arial" w:cs="Arial"/>
                <w:color w:val="000000"/>
              </w:rPr>
              <w:t>Martes</w:t>
            </w:r>
            <w:r w:rsidR="00FE423D">
              <w:rPr>
                <w:rFonts w:ascii="Arial" w:hAnsi="Arial" w:cs="Arial"/>
                <w:color w:val="000000"/>
              </w:rPr>
              <w:t xml:space="preserve"> </w:t>
            </w:r>
            <w:r w:rsidR="002833C4">
              <w:rPr>
                <w:rFonts w:ascii="Arial" w:hAnsi="Arial" w:cs="Arial"/>
                <w:b/>
                <w:color w:val="000000"/>
              </w:rPr>
              <w:t>07</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sidR="002833C4">
              <w:rPr>
                <w:rFonts w:ascii="Arial" w:hAnsi="Arial" w:cs="Arial"/>
                <w:b/>
                <w:color w:val="000000"/>
              </w:rPr>
              <w:t>Diciembre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79C72429"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782E89">
              <w:rPr>
                <w:rFonts w:ascii="Arial" w:hAnsi="Arial" w:cs="Arial"/>
                <w:color w:val="000000"/>
              </w:rPr>
              <w:t>viernes</w:t>
            </w:r>
            <w:r w:rsidRPr="0059248E">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2833C4">
              <w:rPr>
                <w:rFonts w:ascii="Arial" w:hAnsi="Arial" w:cs="Arial"/>
                <w:b/>
                <w:color w:val="000000"/>
              </w:rPr>
              <w:t xml:space="preserve"> las 9:00 am y concluirá a las 09:2</w:t>
            </w:r>
            <w:r w:rsidR="00AC0CED">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r w:rsidR="00C463EA" w:rsidRPr="001C33A9">
              <w:rPr>
                <w:rFonts w:ascii="Arial" w:hAnsi="Arial" w:cs="Arial"/>
                <w:color w:val="000000"/>
              </w:rPr>
              <w:t>Encoré</w:t>
            </w:r>
            <w:r w:rsidRPr="001C33A9">
              <w:rPr>
                <w:rFonts w:ascii="Arial" w:hAnsi="Arial" w:cs="Arial"/>
                <w:color w:val="000000"/>
              </w:rPr>
              <w:t>,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1E900FFE"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782E89">
              <w:rPr>
                <w:rFonts w:ascii="Arial" w:hAnsi="Arial" w:cs="Arial"/>
                <w:color w:val="000000"/>
              </w:rPr>
              <w:t>viernes</w:t>
            </w:r>
            <w:r>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2833C4">
              <w:rPr>
                <w:rFonts w:ascii="Arial" w:hAnsi="Arial" w:cs="Arial"/>
                <w:b/>
                <w:color w:val="000000"/>
              </w:rPr>
              <w:t>a las 09:2</w:t>
            </w:r>
            <w:r w:rsidR="00AC0CED">
              <w:rPr>
                <w:rFonts w:ascii="Arial" w:hAnsi="Arial" w:cs="Arial"/>
                <w:b/>
                <w:color w:val="000000"/>
              </w:rPr>
              <w:t>5</w:t>
            </w:r>
            <w:r>
              <w:rPr>
                <w:rFonts w:ascii="Arial" w:hAnsi="Arial" w:cs="Arial"/>
                <w:b/>
                <w:color w:val="000000"/>
              </w:rPr>
              <w:t xml:space="preserve"> </w:t>
            </w:r>
            <w:r w:rsidRPr="001C33A9">
              <w:rPr>
                <w:rFonts w:ascii="Arial" w:hAnsi="Arial" w:cs="Arial"/>
                <w:color w:val="000000"/>
              </w:rPr>
              <w:t xml:space="preserve">en el inmueble ubicado en Av. López Mateos Sur No. 1710 “B”, salón 02, Hotel </w:t>
            </w:r>
            <w:r w:rsidR="002833C4" w:rsidRPr="001C33A9">
              <w:rPr>
                <w:rFonts w:ascii="Arial" w:hAnsi="Arial" w:cs="Arial"/>
                <w:color w:val="000000"/>
              </w:rPr>
              <w:t>Encoré</w:t>
            </w:r>
            <w:r w:rsidRPr="001C33A9">
              <w:rPr>
                <w:rFonts w:ascii="Arial" w:hAnsi="Arial" w:cs="Arial"/>
                <w:color w:val="000000"/>
              </w:rPr>
              <w:t>,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480B33B0"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44415A">
              <w:rPr>
                <w:rFonts w:ascii="Arial" w:hAnsi="Arial" w:cs="Arial"/>
                <w:b/>
                <w:lang w:val="es-ES_tradnl" w:eastAsia="es-ES"/>
              </w:rPr>
              <w:t>Adjudicara a uno o varios licitantes</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0C54BD"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893125"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365DDD"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E479D6"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18"/>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07FBE1F6" w14:textId="08135A0B" w:rsidR="0044415A" w:rsidRPr="00D55EDE" w:rsidRDefault="00F55A05" w:rsidP="0044415A">
            <w:pPr>
              <w:spacing w:after="0"/>
              <w:jc w:val="both"/>
              <w:rPr>
                <w:rFonts w:ascii="Tahoma" w:hAnsi="Tahoma" w:cs="Tahoma"/>
                <w:b/>
              </w:rPr>
            </w:pPr>
            <w:r>
              <w:rPr>
                <w:rFonts w:ascii="Arial" w:eastAsia="Times New Roman" w:hAnsi="Arial" w:cs="Arial"/>
                <w:lang w:eastAsia="es-ES"/>
              </w:rPr>
              <w:t xml:space="preserve">La </w:t>
            </w:r>
            <w:r w:rsidR="008860B3">
              <w:rPr>
                <w:rFonts w:ascii="Tahoma" w:hAnsi="Tahoma" w:cs="Tahoma"/>
                <w:b/>
              </w:rPr>
              <w:t>DIF-016</w:t>
            </w:r>
            <w:r w:rsidR="00584BDF" w:rsidRPr="00D55EDE">
              <w:rPr>
                <w:rFonts w:ascii="Tahoma" w:hAnsi="Tahoma" w:cs="Tahoma"/>
                <w:b/>
              </w:rPr>
              <w:t>/2021</w:t>
            </w:r>
            <w:r w:rsidR="00584BDF" w:rsidRPr="00171DBF">
              <w:rPr>
                <w:rFonts w:ascii="Tahoma" w:hAnsi="Tahoma" w:cs="Tahoma"/>
                <w:b/>
              </w:rPr>
              <w:t xml:space="preserve"> </w:t>
            </w:r>
            <w:r w:rsidR="008860B3" w:rsidRPr="008860B3">
              <w:rPr>
                <w:rFonts w:ascii="Tahoma" w:hAnsi="Tahoma" w:cs="Tahoma"/>
                <w:b/>
              </w:rPr>
              <w:t>ADQUISICIÓN DE APARTADOS AUXILIARES PARA EL “SISTEMA PARA EL DESARROLLO INTEGRAL DE LA FAMILIA DE TLAJOMULCO DE ZÚÑIGA, JALISCO” A TIEMPO RECORTADO</w:t>
            </w:r>
          </w:p>
          <w:p w14:paraId="649464B2" w14:textId="0669129E" w:rsidR="000B16A4" w:rsidRPr="00905650" w:rsidRDefault="000B16A4" w:rsidP="0044415A">
            <w:pPr>
              <w:spacing w:after="0" w:line="240" w:lineRule="auto"/>
              <w:rPr>
                <w:rFonts w:ascii="Tahoma" w:hAnsi="Tahoma" w:cs="Tahoma"/>
                <w:b/>
              </w:rPr>
            </w:pPr>
            <w:r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571091"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0FF83119"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2E0E18">
        <w:rPr>
          <w:rFonts w:ascii="Tahoma" w:hAnsi="Tahoma" w:cs="Tahoma"/>
        </w:rPr>
        <w:t xml:space="preserve"> periodo comprendido desde el 10</w:t>
      </w:r>
      <w:r w:rsidR="001C33A9" w:rsidRPr="00037ACD">
        <w:rPr>
          <w:rFonts w:ascii="Tahoma" w:hAnsi="Tahoma" w:cs="Tahoma"/>
        </w:rPr>
        <w:t xml:space="preserve"> de </w:t>
      </w:r>
      <w:r w:rsidR="002E0E18">
        <w:rPr>
          <w:rFonts w:ascii="Tahoma" w:hAnsi="Tahoma" w:cs="Tahoma"/>
        </w:rPr>
        <w:t>diciembre</w:t>
      </w:r>
      <w:r w:rsidR="0041527A" w:rsidRPr="00037ACD">
        <w:rPr>
          <w:rFonts w:ascii="Tahoma" w:hAnsi="Tahoma" w:cs="Tahoma"/>
        </w:rPr>
        <w:t xml:space="preserve"> del 2</w:t>
      </w:r>
      <w:r w:rsidR="002E0E18">
        <w:rPr>
          <w:rFonts w:ascii="Tahoma" w:hAnsi="Tahoma" w:cs="Tahoma"/>
        </w:rPr>
        <w:t>021 al 17</w:t>
      </w:r>
      <w:r w:rsidR="001C33A9" w:rsidRPr="00037ACD">
        <w:rPr>
          <w:rFonts w:ascii="Tahoma" w:hAnsi="Tahoma" w:cs="Tahoma"/>
        </w:rPr>
        <w:t xml:space="preserve"> de </w:t>
      </w:r>
      <w:r w:rsidR="0044415A">
        <w:rPr>
          <w:rFonts w:ascii="Tahoma" w:hAnsi="Tahoma" w:cs="Tahoma"/>
        </w:rPr>
        <w:t>diciembre</w:t>
      </w:r>
      <w:r w:rsidR="00D02E34">
        <w:rPr>
          <w:rFonts w:ascii="Tahoma" w:hAnsi="Tahoma" w:cs="Tahoma"/>
        </w:rPr>
        <w:t xml:space="preserve"> del 2021</w:t>
      </w:r>
      <w:r w:rsidR="001C33A9" w:rsidRPr="00037ACD">
        <w:rPr>
          <w:rFonts w:ascii="Tahoma" w:hAnsi="Tahoma" w:cs="Tahoma"/>
        </w:rPr>
        <w:t xml:space="preserve"> o hasta agotarse presupuesto, mismos que serán recibidos previa inspección del área requirente o quien designe ésta.</w:t>
      </w:r>
    </w:p>
    <w:p w14:paraId="526DE90D" w14:textId="77777777" w:rsidR="000B16A4" w:rsidRPr="00037ACD" w:rsidRDefault="000B16A4" w:rsidP="002A1ABA">
      <w:pPr>
        <w:spacing w:after="0" w:line="240" w:lineRule="auto"/>
        <w:jc w:val="both"/>
        <w:rPr>
          <w:rFonts w:ascii="Tahoma" w:eastAsia="Times New Roman" w:hAnsi="Tahoma" w:cs="Tahoma"/>
          <w:lang w:eastAsia="es-ES"/>
        </w:rPr>
      </w:pPr>
    </w:p>
    <w:p w14:paraId="160F81A1" w14:textId="77777777"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58B6A809" w:rsidR="00862A7A" w:rsidRDefault="00862A7A" w:rsidP="000B16A4">
      <w:pPr>
        <w:spacing w:after="0" w:line="240" w:lineRule="auto"/>
        <w:jc w:val="both"/>
        <w:rPr>
          <w:rFonts w:ascii="Tahoma" w:eastAsia="Times New Roman" w:hAnsi="Tahoma" w:cs="Tahoma"/>
          <w:iCs/>
          <w:lang w:eastAsia="es-ES"/>
        </w:rPr>
      </w:pPr>
    </w:p>
    <w:p w14:paraId="72593D0E" w14:textId="77777777" w:rsidR="0044415A" w:rsidRPr="00037ACD" w:rsidRDefault="0044415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09B46DE4"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el inmueble ubicado en Av. López Mateos Sur No. 1710 “B”, salón 02, Hotel Encore,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6EC2CE89"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Encore,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0091C135" w14:textId="77777777"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2BE796A4" w14:textId="77777777" w:rsidR="0044415A" w:rsidRDefault="0044415A" w:rsidP="000B16A4">
      <w:pPr>
        <w:spacing w:after="0" w:line="240" w:lineRule="auto"/>
        <w:jc w:val="both"/>
        <w:rPr>
          <w:rFonts w:ascii="Tahoma" w:eastAsia="Times New Roman" w:hAnsi="Tahoma" w:cs="Tahoma"/>
          <w:lang w:eastAsia="es-ES"/>
        </w:rPr>
      </w:pPr>
    </w:p>
    <w:p w14:paraId="5C0EB9DD" w14:textId="77777777" w:rsidR="0044415A" w:rsidRDefault="0044415A" w:rsidP="000B16A4">
      <w:pPr>
        <w:spacing w:after="0" w:line="240" w:lineRule="auto"/>
        <w:jc w:val="both"/>
        <w:rPr>
          <w:rFonts w:ascii="Tahoma" w:eastAsia="Times New Roman" w:hAnsi="Tahoma" w:cs="Tahoma"/>
          <w:lang w:eastAsia="es-ES"/>
        </w:rPr>
      </w:pPr>
    </w:p>
    <w:p w14:paraId="15C07367" w14:textId="687B44E3"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483E810E" w14:textId="19D9421E"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146440EA"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 xml:space="preserve">Av. López Mateos Sur No. 1710 “B”, salón 02, Hotel </w:t>
      </w:r>
      <w:r w:rsidR="00584BDF" w:rsidRPr="00037ACD">
        <w:rPr>
          <w:rFonts w:ascii="Tahoma" w:hAnsi="Tahoma" w:cs="Tahoma"/>
          <w:b/>
          <w:color w:val="000000"/>
        </w:rPr>
        <w:t>Encoré</w:t>
      </w:r>
      <w:r w:rsidR="003C55BE" w:rsidRPr="00037ACD">
        <w:rPr>
          <w:rFonts w:ascii="Tahoma" w:hAnsi="Tahoma" w:cs="Tahoma"/>
          <w:b/>
          <w:color w:val="000000"/>
        </w:rPr>
        <w:t>,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5D9A78BE"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584BDF">
        <w:rPr>
          <w:rFonts w:ascii="Tahoma" w:eastAsia="Times New Roman" w:hAnsi="Tahoma" w:cs="Tahoma"/>
          <w:b/>
          <w:lang w:eastAsia="es-MX"/>
        </w:rPr>
        <w:t xml:space="preserve">varios o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0156C959" w14:textId="77777777" w:rsidR="0044415A" w:rsidRDefault="0044415A" w:rsidP="000B16A4">
      <w:pPr>
        <w:spacing w:after="0" w:line="240" w:lineRule="auto"/>
        <w:jc w:val="both"/>
        <w:rPr>
          <w:rFonts w:ascii="Tahoma" w:eastAsia="Times New Roman" w:hAnsi="Tahoma" w:cs="Tahoma"/>
          <w:lang w:eastAsia="es-ES"/>
        </w:rPr>
      </w:pPr>
    </w:p>
    <w:p w14:paraId="7C08ACA6" w14:textId="77777777" w:rsidR="0044415A" w:rsidRDefault="0044415A" w:rsidP="000B16A4">
      <w:pPr>
        <w:spacing w:after="0" w:line="240" w:lineRule="auto"/>
        <w:jc w:val="both"/>
        <w:rPr>
          <w:rFonts w:ascii="Tahoma" w:eastAsia="Times New Roman" w:hAnsi="Tahoma" w:cs="Tahoma"/>
          <w:lang w:eastAsia="es-ES"/>
        </w:rPr>
      </w:pPr>
    </w:p>
    <w:p w14:paraId="0133D437" w14:textId="77777777" w:rsidR="0044415A" w:rsidRDefault="0044415A" w:rsidP="000B16A4">
      <w:pPr>
        <w:spacing w:after="0" w:line="240" w:lineRule="auto"/>
        <w:jc w:val="both"/>
        <w:rPr>
          <w:rFonts w:ascii="Tahoma" w:eastAsia="Times New Roman" w:hAnsi="Tahoma" w:cs="Tahoma"/>
          <w:lang w:eastAsia="es-ES"/>
        </w:rPr>
      </w:pPr>
    </w:p>
    <w:p w14:paraId="1CAC5BD7" w14:textId="77777777" w:rsidR="0044415A" w:rsidRDefault="0044415A" w:rsidP="000B16A4">
      <w:pPr>
        <w:spacing w:after="0" w:line="240" w:lineRule="auto"/>
        <w:jc w:val="both"/>
        <w:rPr>
          <w:rFonts w:ascii="Tahoma" w:eastAsia="Times New Roman" w:hAnsi="Tahoma" w:cs="Tahoma"/>
          <w:lang w:eastAsia="es-ES"/>
        </w:rPr>
      </w:pPr>
    </w:p>
    <w:p w14:paraId="4B4C09B3" w14:textId="7DA421A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50732060" w14:textId="77777777" w:rsidR="0044415A" w:rsidRDefault="0044415A" w:rsidP="00C32FB0">
      <w:pPr>
        <w:spacing w:after="0"/>
        <w:jc w:val="both"/>
        <w:rPr>
          <w:rFonts w:ascii="Tahoma" w:hAnsi="Tahoma" w:cs="Tahoma"/>
        </w:rPr>
      </w:pPr>
    </w:p>
    <w:p w14:paraId="6649C9AA" w14:textId="77777777" w:rsidR="0044415A" w:rsidRDefault="0044415A" w:rsidP="00C32FB0">
      <w:pPr>
        <w:spacing w:after="0"/>
        <w:jc w:val="both"/>
        <w:rPr>
          <w:rFonts w:ascii="Tahoma" w:hAnsi="Tahoma" w:cs="Tahoma"/>
        </w:rPr>
      </w:pPr>
    </w:p>
    <w:p w14:paraId="420DE1E2" w14:textId="77777777" w:rsidR="0044415A" w:rsidRDefault="0044415A" w:rsidP="00C32FB0">
      <w:pPr>
        <w:spacing w:after="0"/>
        <w:jc w:val="both"/>
        <w:rPr>
          <w:rFonts w:ascii="Tahoma" w:hAnsi="Tahoma" w:cs="Tahoma"/>
        </w:rPr>
      </w:pPr>
    </w:p>
    <w:p w14:paraId="7A6A1EBD" w14:textId="535D6C3A"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12A27A16"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w:t>
      </w:r>
      <w:r w:rsidR="002E0E18" w:rsidRPr="00037ACD">
        <w:rPr>
          <w:rFonts w:ascii="Tahoma" w:hAnsi="Tahoma" w:cs="Tahoma"/>
        </w:rPr>
        <w:t xml:space="preserve">la </w:t>
      </w:r>
      <w:r w:rsidR="002E0E18" w:rsidRPr="00037ACD">
        <w:rPr>
          <w:rFonts w:ascii="Tahoma" w:hAnsi="Tahoma" w:cs="Tahoma"/>
          <w:spacing w:val="-39"/>
        </w:rPr>
        <w:t>licitación</w:t>
      </w:r>
      <w:r w:rsidRPr="00037ACD">
        <w:rPr>
          <w:rFonts w:ascii="Tahoma" w:hAnsi="Tahoma" w:cs="Tahoma"/>
        </w:rPr>
        <w:t>.</w:t>
      </w:r>
    </w:p>
    <w:p w14:paraId="129C8C45" w14:textId="07A0270D"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Aquellos proveedores </w:t>
      </w:r>
      <w:r w:rsidR="002E0E18" w:rsidRPr="00037ACD">
        <w:rPr>
          <w:rFonts w:ascii="Tahoma" w:hAnsi="Tahoma" w:cs="Tahoma"/>
        </w:rPr>
        <w:t>que,</w:t>
      </w:r>
      <w:r w:rsidRPr="00037ACD">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0C505C0E" w14:textId="77777777" w:rsidR="0044415A" w:rsidRDefault="0044415A" w:rsidP="00C32FB0">
      <w:pPr>
        <w:spacing w:after="0" w:line="240" w:lineRule="auto"/>
        <w:jc w:val="both"/>
        <w:rPr>
          <w:rFonts w:ascii="Tahoma" w:hAnsi="Tahoma" w:cs="Tahoma"/>
          <w:b/>
        </w:rPr>
      </w:pPr>
    </w:p>
    <w:p w14:paraId="50BAC392" w14:textId="77777777" w:rsidR="0044415A" w:rsidRDefault="0044415A" w:rsidP="00C32FB0">
      <w:pPr>
        <w:spacing w:after="0" w:line="240" w:lineRule="auto"/>
        <w:jc w:val="both"/>
        <w:rPr>
          <w:rFonts w:ascii="Tahoma" w:hAnsi="Tahoma" w:cs="Tahoma"/>
          <w:b/>
        </w:rPr>
      </w:pPr>
    </w:p>
    <w:p w14:paraId="24974090" w14:textId="77777777" w:rsidR="0044415A" w:rsidRDefault="0044415A" w:rsidP="00C32FB0">
      <w:pPr>
        <w:spacing w:after="0" w:line="240" w:lineRule="auto"/>
        <w:jc w:val="both"/>
        <w:rPr>
          <w:rFonts w:ascii="Tahoma" w:hAnsi="Tahoma" w:cs="Tahoma"/>
          <w:b/>
        </w:rPr>
      </w:pPr>
    </w:p>
    <w:p w14:paraId="0A1F3122" w14:textId="77777777" w:rsidR="0044415A" w:rsidRDefault="0044415A" w:rsidP="00C32FB0">
      <w:pPr>
        <w:spacing w:after="0" w:line="240" w:lineRule="auto"/>
        <w:jc w:val="both"/>
        <w:rPr>
          <w:rFonts w:ascii="Tahoma" w:hAnsi="Tahoma" w:cs="Tahoma"/>
          <w:b/>
        </w:rPr>
      </w:pPr>
    </w:p>
    <w:p w14:paraId="77BBD15C" w14:textId="77777777"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74546713" w14:textId="77777777" w:rsidR="0044415A" w:rsidRDefault="0044415A" w:rsidP="00C32FB0">
      <w:pPr>
        <w:spacing w:after="0"/>
        <w:jc w:val="both"/>
        <w:rPr>
          <w:rFonts w:ascii="Tahoma" w:hAnsi="Tahoma" w:cs="Tahoma"/>
          <w:b/>
        </w:rPr>
      </w:pPr>
    </w:p>
    <w:p w14:paraId="461DC674" w14:textId="77777777" w:rsidR="0044415A" w:rsidRDefault="0044415A" w:rsidP="00C32FB0">
      <w:pPr>
        <w:spacing w:after="0"/>
        <w:jc w:val="both"/>
        <w:rPr>
          <w:rFonts w:ascii="Tahoma" w:hAnsi="Tahoma" w:cs="Tahoma"/>
          <w:b/>
        </w:rPr>
      </w:pPr>
    </w:p>
    <w:p w14:paraId="574290AC" w14:textId="77777777"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218D6E36" w14:textId="77777777" w:rsidR="0044415A" w:rsidRDefault="0044415A" w:rsidP="00C32FB0">
      <w:pPr>
        <w:spacing w:after="0"/>
        <w:jc w:val="both"/>
        <w:rPr>
          <w:rFonts w:ascii="Tahoma" w:hAnsi="Tahoma" w:cs="Tahoma"/>
          <w:b/>
        </w:rPr>
      </w:pPr>
    </w:p>
    <w:p w14:paraId="19002E41" w14:textId="77777777" w:rsidR="0044415A" w:rsidRDefault="0044415A" w:rsidP="00C32FB0">
      <w:pPr>
        <w:spacing w:after="0"/>
        <w:jc w:val="both"/>
        <w:rPr>
          <w:rFonts w:ascii="Tahoma" w:hAnsi="Tahoma" w:cs="Tahoma"/>
          <w:b/>
        </w:rPr>
      </w:pPr>
    </w:p>
    <w:p w14:paraId="4A95633C" w14:textId="77777777" w:rsidR="0044415A" w:rsidRDefault="0044415A" w:rsidP="00C32FB0">
      <w:pPr>
        <w:spacing w:after="0"/>
        <w:jc w:val="both"/>
        <w:rPr>
          <w:rFonts w:ascii="Tahoma" w:hAnsi="Tahoma" w:cs="Tahoma"/>
          <w:b/>
        </w:rPr>
      </w:pPr>
    </w:p>
    <w:p w14:paraId="5C4B0103" w14:textId="77777777" w:rsidR="0044415A" w:rsidRDefault="0044415A" w:rsidP="00C32FB0">
      <w:pPr>
        <w:spacing w:after="0"/>
        <w:jc w:val="both"/>
        <w:rPr>
          <w:rFonts w:ascii="Tahoma" w:hAnsi="Tahoma" w:cs="Tahoma"/>
          <w:b/>
        </w:rPr>
      </w:pPr>
    </w:p>
    <w:p w14:paraId="2619A2DF" w14:textId="77777777"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340117C2" w14:textId="7FDA247D"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5AABAB89" w14:textId="77777777" w:rsidR="0044415A"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de </w:t>
      </w:r>
    </w:p>
    <w:p w14:paraId="31CBAB56" w14:textId="77777777" w:rsidR="0044415A" w:rsidRDefault="0044415A" w:rsidP="000B16A4">
      <w:pPr>
        <w:spacing w:after="0" w:line="240" w:lineRule="auto"/>
        <w:jc w:val="both"/>
        <w:rPr>
          <w:rFonts w:ascii="Tahoma" w:hAnsi="Tahoma" w:cs="Tahoma"/>
        </w:rPr>
      </w:pPr>
    </w:p>
    <w:p w14:paraId="65E10093" w14:textId="77777777" w:rsidR="0044415A" w:rsidRDefault="0044415A" w:rsidP="000B16A4">
      <w:pPr>
        <w:spacing w:after="0" w:line="240" w:lineRule="auto"/>
        <w:jc w:val="both"/>
        <w:rPr>
          <w:rFonts w:ascii="Tahoma" w:hAnsi="Tahoma" w:cs="Tahoma"/>
        </w:rPr>
      </w:pPr>
    </w:p>
    <w:p w14:paraId="40DF38B9" w14:textId="77777777" w:rsidR="0044415A" w:rsidRDefault="0044415A" w:rsidP="000B16A4">
      <w:pPr>
        <w:spacing w:after="0" w:line="240" w:lineRule="auto"/>
        <w:jc w:val="both"/>
        <w:rPr>
          <w:rFonts w:ascii="Tahoma" w:hAnsi="Tahoma" w:cs="Tahoma"/>
        </w:rPr>
      </w:pPr>
    </w:p>
    <w:p w14:paraId="2DADC7C7" w14:textId="589AACAC"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4DB3A0DF" w14:textId="7B63ED48"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1520B5EB" w14:textId="19B08285" w:rsidR="002E0E18" w:rsidRDefault="008860B3" w:rsidP="002E0E18">
      <w:pPr>
        <w:spacing w:after="0" w:line="240" w:lineRule="auto"/>
        <w:jc w:val="center"/>
        <w:rPr>
          <w:rFonts w:ascii="Tahoma" w:hAnsi="Tahoma" w:cs="Tahoma"/>
          <w:b/>
        </w:rPr>
      </w:pPr>
      <w:r>
        <w:rPr>
          <w:rFonts w:ascii="Tahoma" w:hAnsi="Tahoma" w:cs="Tahoma"/>
          <w:b/>
        </w:rPr>
        <w:t>DIF-016</w:t>
      </w:r>
      <w:r w:rsidR="002E0E18" w:rsidRPr="00796953">
        <w:rPr>
          <w:rFonts w:ascii="Tahoma" w:hAnsi="Tahoma" w:cs="Tahoma"/>
          <w:b/>
        </w:rPr>
        <w:t>/2021</w:t>
      </w:r>
    </w:p>
    <w:p w14:paraId="05EED14A" w14:textId="77777777" w:rsidR="008860B3" w:rsidRPr="00513297" w:rsidRDefault="008860B3" w:rsidP="002E0E18">
      <w:pPr>
        <w:spacing w:after="0" w:line="240" w:lineRule="auto"/>
        <w:jc w:val="center"/>
        <w:rPr>
          <w:rFonts w:ascii="Tahoma" w:hAnsi="Tahoma" w:cs="Tahoma"/>
          <w:b/>
        </w:rPr>
      </w:pPr>
    </w:p>
    <w:p w14:paraId="00AC2095" w14:textId="77777777" w:rsidR="008860B3" w:rsidRPr="00D55EDE" w:rsidRDefault="008860B3" w:rsidP="008860B3">
      <w:pPr>
        <w:spacing w:after="0"/>
        <w:jc w:val="center"/>
        <w:rPr>
          <w:rFonts w:ascii="Tahoma" w:hAnsi="Tahoma" w:cs="Tahoma"/>
          <w:b/>
        </w:rPr>
      </w:pPr>
      <w:r>
        <w:rPr>
          <w:rFonts w:ascii="Tahoma" w:hAnsi="Tahoma" w:cs="Tahoma"/>
          <w:b/>
        </w:rPr>
        <w:t xml:space="preserve">ADQUISICIÓN DE APARTADOS AUXILIARES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3024CAAA" w14:textId="77777777" w:rsidR="00F608B5" w:rsidRDefault="00F608B5" w:rsidP="00F55A05">
      <w:pPr>
        <w:spacing w:after="0"/>
        <w:jc w:val="both"/>
        <w:rPr>
          <w:rFonts w:ascii="Tahoma" w:hAnsi="Tahoma" w:cs="Tahoma"/>
          <w:b/>
          <w:iCs/>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77777777" w:rsidR="00037ACD" w:rsidRPr="0059248E" w:rsidRDefault="00037ACD" w:rsidP="00037ACD">
            <w:pPr>
              <w:spacing w:after="0"/>
              <w:jc w:val="center"/>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434FCC4C" w:rsidR="00037ACD" w:rsidRDefault="00037ACD"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BB3F0CD" w14:textId="77777777" w:rsidR="008860B3" w:rsidRDefault="008860B3" w:rsidP="008860B3">
      <w:pPr>
        <w:spacing w:after="0" w:line="240" w:lineRule="auto"/>
        <w:jc w:val="center"/>
        <w:rPr>
          <w:rFonts w:ascii="Tahoma" w:hAnsi="Tahoma" w:cs="Tahoma"/>
          <w:b/>
        </w:rPr>
      </w:pPr>
      <w:r>
        <w:rPr>
          <w:rFonts w:ascii="Tahoma" w:hAnsi="Tahoma" w:cs="Tahoma"/>
          <w:b/>
        </w:rPr>
        <w:t>DIF-016</w:t>
      </w:r>
      <w:r w:rsidRPr="00796953">
        <w:rPr>
          <w:rFonts w:ascii="Tahoma" w:hAnsi="Tahoma" w:cs="Tahoma"/>
          <w:b/>
        </w:rPr>
        <w:t>/2021</w:t>
      </w:r>
    </w:p>
    <w:p w14:paraId="6129A47D" w14:textId="77777777" w:rsidR="008860B3" w:rsidRPr="00513297" w:rsidRDefault="008860B3" w:rsidP="008860B3">
      <w:pPr>
        <w:spacing w:after="0" w:line="240" w:lineRule="auto"/>
        <w:jc w:val="center"/>
        <w:rPr>
          <w:rFonts w:ascii="Tahoma" w:hAnsi="Tahoma" w:cs="Tahoma"/>
          <w:b/>
        </w:rPr>
      </w:pPr>
    </w:p>
    <w:p w14:paraId="15983C35" w14:textId="77777777" w:rsidR="008860B3" w:rsidRPr="00D55EDE" w:rsidRDefault="008860B3" w:rsidP="008860B3">
      <w:pPr>
        <w:spacing w:after="0"/>
        <w:jc w:val="center"/>
        <w:rPr>
          <w:rFonts w:ascii="Tahoma" w:hAnsi="Tahoma" w:cs="Tahoma"/>
          <w:b/>
        </w:rPr>
      </w:pPr>
      <w:r>
        <w:rPr>
          <w:rFonts w:ascii="Tahoma" w:hAnsi="Tahoma" w:cs="Tahoma"/>
          <w:b/>
        </w:rPr>
        <w:t xml:space="preserve">ADQUISICIÓN DE APARTADOS AUXILIARES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515B10F1" w14:textId="77777777" w:rsidR="00F608B5" w:rsidRPr="00D55EDE" w:rsidRDefault="00F608B5" w:rsidP="00F608B5">
      <w:pPr>
        <w:spacing w:after="0"/>
        <w:jc w:val="center"/>
        <w:rPr>
          <w:rFonts w:ascii="Tahoma" w:hAnsi="Tahoma" w:cs="Tahoma"/>
          <w:b/>
        </w:rPr>
      </w:pPr>
    </w:p>
    <w:p w14:paraId="63A669DC" w14:textId="63C55B00" w:rsidR="008235F3" w:rsidRDefault="008235F3" w:rsidP="008235F3">
      <w:pPr>
        <w:spacing w:after="0" w:line="240" w:lineRule="auto"/>
        <w:jc w:val="both"/>
        <w:rPr>
          <w:rFonts w:ascii="Arial" w:eastAsia="Times New Roman" w:hAnsi="Arial" w:cs="Arial"/>
          <w:sz w:val="24"/>
          <w:szCs w:val="24"/>
          <w:lang w:eastAsia="es-ES"/>
        </w:rPr>
      </w:pPr>
    </w:p>
    <w:tbl>
      <w:tblPr>
        <w:tblW w:w="10065" w:type="dxa"/>
        <w:tblInd w:w="-601" w:type="dxa"/>
        <w:tblLook w:val="04A0" w:firstRow="1" w:lastRow="0" w:firstColumn="1" w:lastColumn="0" w:noHBand="0" w:noVBand="1"/>
      </w:tblPr>
      <w:tblGrid>
        <w:gridCol w:w="993"/>
        <w:gridCol w:w="1276"/>
        <w:gridCol w:w="4252"/>
        <w:gridCol w:w="1985"/>
        <w:gridCol w:w="1559"/>
      </w:tblGrid>
      <w:tr w:rsidR="008860B3" w:rsidRPr="008860B3" w14:paraId="0B26166C" w14:textId="77777777" w:rsidTr="008860B3">
        <w:trPr>
          <w:trHeight w:val="450"/>
        </w:trPr>
        <w:tc>
          <w:tcPr>
            <w:tcW w:w="993" w:type="dxa"/>
            <w:tcBorders>
              <w:top w:val="single" w:sz="4" w:space="0" w:color="auto"/>
              <w:left w:val="single" w:sz="4" w:space="0" w:color="auto"/>
              <w:bottom w:val="nil"/>
              <w:right w:val="single" w:sz="4" w:space="0" w:color="auto"/>
            </w:tcBorders>
            <w:shd w:val="clear" w:color="000000" w:fill="D9D9D9"/>
            <w:vAlign w:val="center"/>
            <w:hideMark/>
          </w:tcPr>
          <w:p w14:paraId="47E80577" w14:textId="77777777" w:rsidR="008860B3" w:rsidRPr="008860B3" w:rsidRDefault="008860B3" w:rsidP="008860B3">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Partida</w:t>
            </w:r>
          </w:p>
        </w:tc>
        <w:tc>
          <w:tcPr>
            <w:tcW w:w="1276" w:type="dxa"/>
            <w:tcBorders>
              <w:top w:val="single" w:sz="4" w:space="0" w:color="auto"/>
              <w:left w:val="nil"/>
              <w:bottom w:val="nil"/>
              <w:right w:val="single" w:sz="4" w:space="0" w:color="auto"/>
            </w:tcBorders>
            <w:shd w:val="clear" w:color="000000" w:fill="D9D9D9"/>
            <w:vAlign w:val="center"/>
            <w:hideMark/>
          </w:tcPr>
          <w:p w14:paraId="2B266E9D" w14:textId="77777777" w:rsidR="008860B3" w:rsidRPr="008860B3" w:rsidRDefault="008860B3" w:rsidP="008860B3">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Cantidad</w:t>
            </w:r>
          </w:p>
        </w:tc>
        <w:tc>
          <w:tcPr>
            <w:tcW w:w="4252" w:type="dxa"/>
            <w:tcBorders>
              <w:top w:val="single" w:sz="4" w:space="0" w:color="auto"/>
              <w:left w:val="nil"/>
              <w:bottom w:val="nil"/>
              <w:right w:val="single" w:sz="4" w:space="0" w:color="auto"/>
            </w:tcBorders>
            <w:shd w:val="clear" w:color="000000" w:fill="D9D9D9"/>
            <w:vAlign w:val="center"/>
            <w:hideMark/>
          </w:tcPr>
          <w:p w14:paraId="7C6E4257" w14:textId="77777777" w:rsidR="008860B3" w:rsidRPr="008860B3" w:rsidRDefault="008860B3" w:rsidP="008860B3">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Descripción</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CF4047C" w14:textId="77777777" w:rsidR="008860B3" w:rsidRPr="008860B3" w:rsidRDefault="008860B3" w:rsidP="008860B3">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 xml:space="preserve"> Precio Unitario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85CCCB5" w14:textId="77777777" w:rsidR="008860B3" w:rsidRPr="008860B3" w:rsidRDefault="008860B3" w:rsidP="008860B3">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TOTAL</w:t>
            </w:r>
          </w:p>
        </w:tc>
      </w:tr>
      <w:tr w:rsidR="008860B3" w:rsidRPr="008860B3" w14:paraId="55F2E5CA" w14:textId="77777777" w:rsidTr="008860B3">
        <w:trPr>
          <w:trHeight w:val="27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6D878" w14:textId="77777777" w:rsidR="008860B3" w:rsidRPr="008860B3" w:rsidRDefault="008860B3" w:rsidP="008860B3">
            <w:pPr>
              <w:spacing w:after="0" w:line="240" w:lineRule="auto"/>
              <w:jc w:val="center"/>
              <w:rPr>
                <w:rFonts w:ascii="Calibri" w:eastAsia="Times New Roman" w:hAnsi="Calibri" w:cs="Calibri"/>
                <w:color w:val="000000"/>
                <w:sz w:val="20"/>
                <w:szCs w:val="20"/>
                <w:lang w:val="en-US"/>
              </w:rPr>
            </w:pPr>
            <w:r w:rsidRPr="008860B3">
              <w:rPr>
                <w:rFonts w:ascii="Calibri" w:eastAsia="Times New Roman" w:hAnsi="Calibri" w:cs="Calibri"/>
                <w:color w:val="000000"/>
                <w:sz w:val="20"/>
                <w:szCs w:val="20"/>
                <w:lang w:val="en-US"/>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1B4605" w14:textId="77777777" w:rsidR="008860B3" w:rsidRPr="008860B3" w:rsidRDefault="008860B3" w:rsidP="008860B3">
            <w:pPr>
              <w:spacing w:after="0" w:line="240" w:lineRule="auto"/>
              <w:jc w:val="center"/>
              <w:rPr>
                <w:rFonts w:ascii="Calibri" w:eastAsia="Times New Roman" w:hAnsi="Calibri" w:cs="Calibri"/>
                <w:color w:val="000000"/>
                <w:sz w:val="16"/>
                <w:szCs w:val="16"/>
                <w:lang w:val="en-US"/>
              </w:rPr>
            </w:pPr>
            <w:r w:rsidRPr="008860B3">
              <w:rPr>
                <w:rFonts w:ascii="Calibri" w:eastAsia="Times New Roman" w:hAnsi="Calibri" w:cs="Calibri"/>
                <w:color w:val="000000"/>
                <w:sz w:val="16"/>
                <w:szCs w:val="16"/>
                <w:lang w:val="en-US"/>
              </w:rPr>
              <w:t>27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F59D9CC" w14:textId="77777777" w:rsidR="008860B3" w:rsidRPr="008860B3" w:rsidRDefault="008860B3" w:rsidP="008860B3">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APARATOS AUDITIVOS DIGITALES PROGRAMABLES POR COMPUTADORA, CUENTA CON 8 CANALES Y 4 BANDAS. GANANCIA EN PIO EN SIMULADOR: 62DB, 75DB Y 84DB. SALIDA MÁXIMA EN SIMULADOR: 124DB, 138DB, Y 144DB, 4 PROGRAMAS AUDITIVOS, MICRÓFONOS OMNIDIRIECCIONALES Y DIRECIONALES FIJOS, CANCELACIÓN DE FEEDBACK, CONTROL DE HABLA Y RUIDO EN 12 PASOS, DATA LOGGIN, TELEBOBINA, NANO COATING, COMPATIBLE CON SIGNIA APP PARA EL MANEJO A TRAVÉS DE CELULAR, COMPATIBLE CON SIGNIA TELECARE PARA AJUSTES</w:t>
            </w:r>
            <w:r w:rsidRPr="008860B3">
              <w:rPr>
                <w:rFonts w:ascii="Calibri" w:eastAsia="Times New Roman" w:hAnsi="Calibri" w:cs="Calibri"/>
                <w:sz w:val="16"/>
                <w:szCs w:val="16"/>
                <w:lang w:val="es-ES"/>
              </w:rPr>
              <w:br/>
              <w:t>REMOTOS. (INCLUIR BLISTER DE 6 BATERIAS, ESTUCHE RIGIDO Y KIT DE LIMPIEZA, 2 AÑOS DE GARANTIA MINIMO)</w:t>
            </w:r>
          </w:p>
        </w:tc>
        <w:tc>
          <w:tcPr>
            <w:tcW w:w="1985" w:type="dxa"/>
            <w:tcBorders>
              <w:top w:val="nil"/>
              <w:left w:val="nil"/>
              <w:bottom w:val="single" w:sz="4" w:space="0" w:color="auto"/>
              <w:right w:val="single" w:sz="4" w:space="0" w:color="auto"/>
            </w:tcBorders>
            <w:shd w:val="clear" w:color="auto" w:fill="auto"/>
            <w:vAlign w:val="center"/>
            <w:hideMark/>
          </w:tcPr>
          <w:p w14:paraId="150558DA" w14:textId="77777777" w:rsidR="008860B3" w:rsidRPr="008860B3" w:rsidRDefault="008860B3" w:rsidP="008860B3">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 </w:t>
            </w:r>
          </w:p>
        </w:tc>
        <w:tc>
          <w:tcPr>
            <w:tcW w:w="1559" w:type="dxa"/>
            <w:tcBorders>
              <w:top w:val="nil"/>
              <w:left w:val="nil"/>
              <w:bottom w:val="single" w:sz="4" w:space="0" w:color="auto"/>
              <w:right w:val="single" w:sz="4" w:space="0" w:color="auto"/>
            </w:tcBorders>
            <w:shd w:val="clear" w:color="auto" w:fill="auto"/>
            <w:vAlign w:val="center"/>
            <w:hideMark/>
          </w:tcPr>
          <w:p w14:paraId="092E72B3" w14:textId="77777777" w:rsidR="008860B3" w:rsidRPr="008860B3" w:rsidRDefault="008860B3" w:rsidP="008860B3">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 </w:t>
            </w:r>
          </w:p>
        </w:tc>
      </w:tr>
      <w:tr w:rsidR="008860B3" w:rsidRPr="008860B3" w14:paraId="7262FEC1" w14:textId="77777777" w:rsidTr="008860B3">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664907" w14:textId="77777777" w:rsidR="008860B3" w:rsidRPr="008860B3" w:rsidRDefault="008860B3" w:rsidP="008860B3">
            <w:pPr>
              <w:spacing w:after="0" w:line="240" w:lineRule="auto"/>
              <w:jc w:val="center"/>
              <w:rPr>
                <w:rFonts w:ascii="Calibri" w:eastAsia="Times New Roman" w:hAnsi="Calibri" w:cs="Calibri"/>
                <w:color w:val="000000"/>
                <w:sz w:val="20"/>
                <w:szCs w:val="20"/>
                <w:lang w:val="en-US"/>
              </w:rPr>
            </w:pPr>
            <w:r w:rsidRPr="008860B3">
              <w:rPr>
                <w:rFonts w:ascii="Calibri" w:eastAsia="Times New Roman" w:hAnsi="Calibri" w:cs="Calibri"/>
                <w:color w:val="000000"/>
                <w:sz w:val="20"/>
                <w:szCs w:val="20"/>
                <w:lang w:val="en-US"/>
              </w:rPr>
              <w:t>2</w:t>
            </w:r>
          </w:p>
        </w:tc>
        <w:tc>
          <w:tcPr>
            <w:tcW w:w="1276" w:type="dxa"/>
            <w:tcBorders>
              <w:top w:val="nil"/>
              <w:left w:val="nil"/>
              <w:bottom w:val="single" w:sz="4" w:space="0" w:color="auto"/>
              <w:right w:val="single" w:sz="4" w:space="0" w:color="auto"/>
            </w:tcBorders>
            <w:shd w:val="clear" w:color="auto" w:fill="auto"/>
            <w:noWrap/>
            <w:vAlign w:val="center"/>
            <w:hideMark/>
          </w:tcPr>
          <w:p w14:paraId="090C78CC" w14:textId="77777777" w:rsidR="008860B3" w:rsidRPr="008860B3" w:rsidRDefault="008860B3" w:rsidP="008860B3">
            <w:pPr>
              <w:spacing w:after="0" w:line="240" w:lineRule="auto"/>
              <w:jc w:val="center"/>
              <w:rPr>
                <w:rFonts w:ascii="Calibri" w:eastAsia="Times New Roman" w:hAnsi="Calibri" w:cs="Calibri"/>
                <w:color w:val="000000"/>
                <w:sz w:val="16"/>
                <w:szCs w:val="16"/>
                <w:lang w:val="en-US"/>
              </w:rPr>
            </w:pPr>
            <w:r w:rsidRPr="008860B3">
              <w:rPr>
                <w:rFonts w:ascii="Calibri" w:eastAsia="Times New Roman" w:hAnsi="Calibri" w:cs="Calibri"/>
                <w:color w:val="000000"/>
                <w:sz w:val="16"/>
                <w:szCs w:val="16"/>
                <w:lang w:val="en-US"/>
              </w:rPr>
              <w:t>10</w:t>
            </w:r>
          </w:p>
        </w:tc>
        <w:tc>
          <w:tcPr>
            <w:tcW w:w="4252" w:type="dxa"/>
            <w:tcBorders>
              <w:top w:val="nil"/>
              <w:left w:val="nil"/>
              <w:bottom w:val="single" w:sz="4" w:space="0" w:color="auto"/>
              <w:right w:val="single" w:sz="4" w:space="0" w:color="auto"/>
            </w:tcBorders>
            <w:shd w:val="clear" w:color="auto" w:fill="auto"/>
            <w:vAlign w:val="center"/>
            <w:hideMark/>
          </w:tcPr>
          <w:p w14:paraId="3E82E920" w14:textId="77777777" w:rsidR="008860B3" w:rsidRPr="008860B3" w:rsidRDefault="008860B3" w:rsidP="008860B3">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SERVICIO DE ADAPTACIÓN, MOLDE Y AJUSTE DE APARATOS AUDITIVOS</w:t>
            </w:r>
          </w:p>
        </w:tc>
        <w:tc>
          <w:tcPr>
            <w:tcW w:w="1985" w:type="dxa"/>
            <w:tcBorders>
              <w:top w:val="nil"/>
              <w:left w:val="nil"/>
              <w:bottom w:val="single" w:sz="4" w:space="0" w:color="auto"/>
              <w:right w:val="single" w:sz="4" w:space="0" w:color="auto"/>
            </w:tcBorders>
            <w:shd w:val="clear" w:color="auto" w:fill="auto"/>
            <w:vAlign w:val="center"/>
            <w:hideMark/>
          </w:tcPr>
          <w:p w14:paraId="3F364140" w14:textId="77777777" w:rsidR="008860B3" w:rsidRPr="008860B3" w:rsidRDefault="008860B3" w:rsidP="008860B3">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 </w:t>
            </w:r>
          </w:p>
        </w:tc>
        <w:tc>
          <w:tcPr>
            <w:tcW w:w="1559" w:type="dxa"/>
            <w:tcBorders>
              <w:top w:val="nil"/>
              <w:left w:val="nil"/>
              <w:bottom w:val="single" w:sz="4" w:space="0" w:color="auto"/>
              <w:right w:val="single" w:sz="4" w:space="0" w:color="auto"/>
            </w:tcBorders>
            <w:shd w:val="clear" w:color="auto" w:fill="auto"/>
            <w:vAlign w:val="center"/>
            <w:hideMark/>
          </w:tcPr>
          <w:p w14:paraId="1F71F8D0" w14:textId="77777777" w:rsidR="008860B3" w:rsidRPr="008860B3" w:rsidRDefault="008860B3" w:rsidP="008860B3">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 </w:t>
            </w:r>
          </w:p>
        </w:tc>
      </w:tr>
    </w:tbl>
    <w:p w14:paraId="20D24D8F" w14:textId="77777777" w:rsidR="00421AE5" w:rsidRPr="00A65B21" w:rsidRDefault="00421AE5" w:rsidP="00421AE5">
      <w:pPr>
        <w:spacing w:after="0" w:line="240" w:lineRule="auto"/>
        <w:jc w:val="both"/>
        <w:rPr>
          <w:rFonts w:ascii="Tahoma" w:eastAsia="Arial" w:hAnsi="Tahoma" w:cs="Tahoma"/>
          <w:lang w:val="es-ES"/>
        </w:rPr>
      </w:pPr>
    </w:p>
    <w:p w14:paraId="52803813" w14:textId="77777777"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688EEE5C" w14:textId="62D8AA12" w:rsidR="000B16A4" w:rsidRPr="00486161" w:rsidRDefault="008860B3"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DIF/016</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Pr>
          <w:rFonts w:ascii="Tahoma" w:eastAsia="Times New Roman" w:hAnsi="Tahoma" w:cs="Tahoma"/>
          <w:lang w:eastAsia="es-ES"/>
        </w:rPr>
        <w:t>DIF/016</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E082A96"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DE7674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EF50A1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E19F36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97A1D3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5E44AE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6A349F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51ECA5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666F5EB" w14:textId="0FCE4323" w:rsidR="00A65B21" w:rsidRDefault="00A65B21" w:rsidP="004735D2">
      <w:pPr>
        <w:spacing w:after="0" w:line="240" w:lineRule="auto"/>
        <w:rPr>
          <w:rFonts w:ascii="Arial" w:eastAsia="Times New Roman" w:hAnsi="Arial" w:cs="Arial"/>
          <w:b/>
          <w:spacing w:val="60"/>
          <w:sz w:val="20"/>
          <w:szCs w:val="20"/>
          <w:lang w:eastAsia="es-ES"/>
        </w:rPr>
      </w:pPr>
    </w:p>
    <w:p w14:paraId="2BD242FB" w14:textId="77777777" w:rsidR="00A65B21" w:rsidRDefault="00A65B2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B45D23E" w14:textId="7180F464" w:rsidR="008860B3" w:rsidRPr="00513297" w:rsidRDefault="008860B3" w:rsidP="008860B3">
      <w:pPr>
        <w:spacing w:after="0" w:line="240" w:lineRule="auto"/>
        <w:jc w:val="center"/>
        <w:rPr>
          <w:rFonts w:ascii="Tahoma" w:hAnsi="Tahoma" w:cs="Tahoma"/>
          <w:b/>
        </w:rPr>
      </w:pPr>
      <w:r>
        <w:rPr>
          <w:rFonts w:ascii="Tahoma" w:hAnsi="Tahoma" w:cs="Tahoma"/>
          <w:b/>
        </w:rPr>
        <w:t>DIF-016</w:t>
      </w:r>
      <w:r w:rsidRPr="00796953">
        <w:rPr>
          <w:rFonts w:ascii="Tahoma" w:hAnsi="Tahoma" w:cs="Tahoma"/>
          <w:b/>
        </w:rPr>
        <w:t>/2021</w:t>
      </w:r>
    </w:p>
    <w:p w14:paraId="009F5D95" w14:textId="77777777" w:rsidR="008860B3" w:rsidRDefault="008860B3" w:rsidP="008860B3">
      <w:pPr>
        <w:spacing w:after="0"/>
        <w:jc w:val="both"/>
        <w:rPr>
          <w:rFonts w:ascii="Tahoma" w:hAnsi="Tahoma" w:cs="Tahoma"/>
          <w:b/>
          <w:iCs/>
        </w:rPr>
      </w:pPr>
    </w:p>
    <w:p w14:paraId="615884EA" w14:textId="77777777" w:rsidR="008860B3" w:rsidRPr="00D55EDE" w:rsidRDefault="008860B3" w:rsidP="008860B3">
      <w:pPr>
        <w:spacing w:after="0"/>
        <w:jc w:val="center"/>
        <w:rPr>
          <w:rFonts w:ascii="Tahoma" w:hAnsi="Tahoma" w:cs="Tahoma"/>
          <w:b/>
        </w:rPr>
      </w:pPr>
      <w:r>
        <w:rPr>
          <w:rFonts w:ascii="Tahoma" w:hAnsi="Tahoma" w:cs="Tahoma"/>
          <w:b/>
        </w:rPr>
        <w:t xml:space="preserve">ADQUISICIÓN DE APARTADOS AUXILIARES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127E80A6" w:rsidR="00BC3334" w:rsidRDefault="00BC3334" w:rsidP="009037B2">
      <w:pPr>
        <w:spacing w:after="0"/>
        <w:jc w:val="both"/>
        <w:rPr>
          <w:rFonts w:ascii="Arial" w:hAnsi="Arial" w:cs="Arial"/>
          <w:sz w:val="20"/>
          <w:szCs w:val="20"/>
        </w:rPr>
      </w:pPr>
    </w:p>
    <w:tbl>
      <w:tblPr>
        <w:tblW w:w="10065" w:type="dxa"/>
        <w:tblInd w:w="-601" w:type="dxa"/>
        <w:tblLook w:val="04A0" w:firstRow="1" w:lastRow="0" w:firstColumn="1" w:lastColumn="0" w:noHBand="0" w:noVBand="1"/>
      </w:tblPr>
      <w:tblGrid>
        <w:gridCol w:w="993"/>
        <w:gridCol w:w="1276"/>
        <w:gridCol w:w="4252"/>
        <w:gridCol w:w="1985"/>
        <w:gridCol w:w="1559"/>
      </w:tblGrid>
      <w:tr w:rsidR="008860B3" w:rsidRPr="008860B3" w14:paraId="30E91342" w14:textId="77777777" w:rsidTr="00EF103D">
        <w:trPr>
          <w:trHeight w:val="450"/>
        </w:trPr>
        <w:tc>
          <w:tcPr>
            <w:tcW w:w="993" w:type="dxa"/>
            <w:tcBorders>
              <w:top w:val="single" w:sz="4" w:space="0" w:color="auto"/>
              <w:left w:val="single" w:sz="4" w:space="0" w:color="auto"/>
              <w:bottom w:val="nil"/>
              <w:right w:val="single" w:sz="4" w:space="0" w:color="auto"/>
            </w:tcBorders>
            <w:shd w:val="clear" w:color="000000" w:fill="D9D9D9"/>
            <w:vAlign w:val="center"/>
            <w:hideMark/>
          </w:tcPr>
          <w:p w14:paraId="1EFD3C92" w14:textId="77777777" w:rsidR="008860B3" w:rsidRPr="008860B3" w:rsidRDefault="008860B3" w:rsidP="00EF103D">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Partida</w:t>
            </w:r>
          </w:p>
        </w:tc>
        <w:tc>
          <w:tcPr>
            <w:tcW w:w="1276" w:type="dxa"/>
            <w:tcBorders>
              <w:top w:val="single" w:sz="4" w:space="0" w:color="auto"/>
              <w:left w:val="nil"/>
              <w:bottom w:val="nil"/>
              <w:right w:val="single" w:sz="4" w:space="0" w:color="auto"/>
            </w:tcBorders>
            <w:shd w:val="clear" w:color="000000" w:fill="D9D9D9"/>
            <w:vAlign w:val="center"/>
            <w:hideMark/>
          </w:tcPr>
          <w:p w14:paraId="74097604" w14:textId="77777777" w:rsidR="008860B3" w:rsidRPr="008860B3" w:rsidRDefault="008860B3" w:rsidP="00EF103D">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Cantidad</w:t>
            </w:r>
          </w:p>
        </w:tc>
        <w:tc>
          <w:tcPr>
            <w:tcW w:w="4252" w:type="dxa"/>
            <w:tcBorders>
              <w:top w:val="single" w:sz="4" w:space="0" w:color="auto"/>
              <w:left w:val="nil"/>
              <w:bottom w:val="nil"/>
              <w:right w:val="single" w:sz="4" w:space="0" w:color="auto"/>
            </w:tcBorders>
            <w:shd w:val="clear" w:color="000000" w:fill="D9D9D9"/>
            <w:vAlign w:val="center"/>
            <w:hideMark/>
          </w:tcPr>
          <w:p w14:paraId="2A017483" w14:textId="77777777" w:rsidR="008860B3" w:rsidRPr="008860B3" w:rsidRDefault="008860B3" w:rsidP="00EF103D">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Descripción</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14DF7F36" w14:textId="77777777" w:rsidR="008860B3" w:rsidRPr="008860B3" w:rsidRDefault="008860B3" w:rsidP="00EF103D">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 xml:space="preserve"> Precio Unitario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D20083E" w14:textId="77777777" w:rsidR="008860B3" w:rsidRPr="008860B3" w:rsidRDefault="008860B3" w:rsidP="00EF103D">
            <w:pPr>
              <w:spacing w:after="0" w:line="240" w:lineRule="auto"/>
              <w:jc w:val="center"/>
              <w:rPr>
                <w:rFonts w:ascii="Core Rhino 45 Regular" w:eastAsia="Times New Roman" w:hAnsi="Core Rhino 45 Regular" w:cs="Calibri"/>
                <w:b/>
                <w:bCs/>
                <w:color w:val="595959"/>
                <w:sz w:val="16"/>
                <w:szCs w:val="16"/>
                <w:lang w:val="en-US"/>
              </w:rPr>
            </w:pPr>
            <w:r w:rsidRPr="008860B3">
              <w:rPr>
                <w:rFonts w:ascii="Core Rhino 45 Regular" w:eastAsia="Times New Roman" w:hAnsi="Core Rhino 45 Regular" w:cs="Calibri"/>
                <w:b/>
                <w:bCs/>
                <w:color w:val="595959"/>
                <w:sz w:val="16"/>
                <w:szCs w:val="16"/>
                <w:lang w:val="en-US"/>
              </w:rPr>
              <w:t>TOTAL</w:t>
            </w:r>
          </w:p>
        </w:tc>
      </w:tr>
      <w:tr w:rsidR="008860B3" w:rsidRPr="008860B3" w14:paraId="01F995A3" w14:textId="77777777" w:rsidTr="00EF103D">
        <w:trPr>
          <w:trHeight w:val="27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4918E" w14:textId="77777777" w:rsidR="008860B3" w:rsidRPr="008860B3" w:rsidRDefault="008860B3" w:rsidP="00EF103D">
            <w:pPr>
              <w:spacing w:after="0" w:line="240" w:lineRule="auto"/>
              <w:jc w:val="center"/>
              <w:rPr>
                <w:rFonts w:ascii="Calibri" w:eastAsia="Times New Roman" w:hAnsi="Calibri" w:cs="Calibri"/>
                <w:color w:val="000000"/>
                <w:sz w:val="20"/>
                <w:szCs w:val="20"/>
                <w:lang w:val="en-US"/>
              </w:rPr>
            </w:pPr>
            <w:r w:rsidRPr="008860B3">
              <w:rPr>
                <w:rFonts w:ascii="Calibri" w:eastAsia="Times New Roman" w:hAnsi="Calibri" w:cs="Calibri"/>
                <w:color w:val="000000"/>
                <w:sz w:val="20"/>
                <w:szCs w:val="20"/>
                <w:lang w:val="en-US"/>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0F8D5" w14:textId="77777777" w:rsidR="008860B3" w:rsidRPr="008860B3" w:rsidRDefault="008860B3" w:rsidP="00EF103D">
            <w:pPr>
              <w:spacing w:after="0" w:line="240" w:lineRule="auto"/>
              <w:jc w:val="center"/>
              <w:rPr>
                <w:rFonts w:ascii="Calibri" w:eastAsia="Times New Roman" w:hAnsi="Calibri" w:cs="Calibri"/>
                <w:color w:val="000000"/>
                <w:sz w:val="16"/>
                <w:szCs w:val="16"/>
                <w:lang w:val="en-US"/>
              </w:rPr>
            </w:pPr>
            <w:r w:rsidRPr="008860B3">
              <w:rPr>
                <w:rFonts w:ascii="Calibri" w:eastAsia="Times New Roman" w:hAnsi="Calibri" w:cs="Calibri"/>
                <w:color w:val="000000"/>
                <w:sz w:val="16"/>
                <w:szCs w:val="16"/>
                <w:lang w:val="en-US"/>
              </w:rPr>
              <w:t>27</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876F426" w14:textId="77777777" w:rsidR="008860B3" w:rsidRPr="008860B3" w:rsidRDefault="008860B3" w:rsidP="00EF103D">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APARATOS AUDITIVOS DIGITALES PROGRAMABLES POR COMPUTADORA, CUENTA CON 8 CANALES Y 4 BANDAS. GANANCIA EN PIO EN SIMULADOR: 62DB, 75DB Y 84DB. SALIDA MÁXIMA EN SIMULADOR: 124DB, 138DB, Y 144DB, 4 PROGRAMAS AUDITIVOS, MICRÓFONOS OMNIDIRIECCIONALES Y DIRECIONALES FIJOS, CANCELACIÓN DE FEEDBACK, CONTROL DE HABLA Y RUIDO EN 12 PASOS, DATA LOGGIN, TELEBOBINA, NANO COATING, COMPATIBLE CON SIGNIA APP PARA EL MANEJO A TRAVÉS DE CELULAR, COMPATIBLE CON SIGNIA TELECARE PARA AJUSTES</w:t>
            </w:r>
            <w:r w:rsidRPr="008860B3">
              <w:rPr>
                <w:rFonts w:ascii="Calibri" w:eastAsia="Times New Roman" w:hAnsi="Calibri" w:cs="Calibri"/>
                <w:sz w:val="16"/>
                <w:szCs w:val="16"/>
                <w:lang w:val="es-ES"/>
              </w:rPr>
              <w:br/>
              <w:t>REMOTOS. (INCLUIR BLISTER DE 6 BATERIAS, ESTUCHE RIGIDO Y KIT DE LIMPIEZA, 2 AÑOS DE GARANTIA MINIMO)</w:t>
            </w:r>
          </w:p>
        </w:tc>
        <w:tc>
          <w:tcPr>
            <w:tcW w:w="1985" w:type="dxa"/>
            <w:tcBorders>
              <w:top w:val="nil"/>
              <w:left w:val="nil"/>
              <w:bottom w:val="single" w:sz="4" w:space="0" w:color="auto"/>
              <w:right w:val="single" w:sz="4" w:space="0" w:color="auto"/>
            </w:tcBorders>
            <w:shd w:val="clear" w:color="auto" w:fill="auto"/>
            <w:vAlign w:val="center"/>
            <w:hideMark/>
          </w:tcPr>
          <w:p w14:paraId="26811785" w14:textId="77777777" w:rsidR="008860B3" w:rsidRPr="008860B3" w:rsidRDefault="008860B3" w:rsidP="00EF103D">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 </w:t>
            </w:r>
          </w:p>
        </w:tc>
        <w:tc>
          <w:tcPr>
            <w:tcW w:w="1559" w:type="dxa"/>
            <w:tcBorders>
              <w:top w:val="nil"/>
              <w:left w:val="nil"/>
              <w:bottom w:val="single" w:sz="4" w:space="0" w:color="auto"/>
              <w:right w:val="single" w:sz="4" w:space="0" w:color="auto"/>
            </w:tcBorders>
            <w:shd w:val="clear" w:color="auto" w:fill="auto"/>
            <w:vAlign w:val="center"/>
            <w:hideMark/>
          </w:tcPr>
          <w:p w14:paraId="41700842" w14:textId="77777777" w:rsidR="008860B3" w:rsidRPr="008860B3" w:rsidRDefault="008860B3" w:rsidP="00EF103D">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 </w:t>
            </w:r>
          </w:p>
        </w:tc>
      </w:tr>
      <w:tr w:rsidR="008860B3" w:rsidRPr="008860B3" w14:paraId="6ECB806E" w14:textId="77777777" w:rsidTr="00EF103D">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EE3088" w14:textId="77777777" w:rsidR="008860B3" w:rsidRPr="008860B3" w:rsidRDefault="008860B3" w:rsidP="00EF103D">
            <w:pPr>
              <w:spacing w:after="0" w:line="240" w:lineRule="auto"/>
              <w:jc w:val="center"/>
              <w:rPr>
                <w:rFonts w:ascii="Calibri" w:eastAsia="Times New Roman" w:hAnsi="Calibri" w:cs="Calibri"/>
                <w:color w:val="000000"/>
                <w:sz w:val="20"/>
                <w:szCs w:val="20"/>
                <w:lang w:val="en-US"/>
              </w:rPr>
            </w:pPr>
            <w:r w:rsidRPr="008860B3">
              <w:rPr>
                <w:rFonts w:ascii="Calibri" w:eastAsia="Times New Roman" w:hAnsi="Calibri" w:cs="Calibri"/>
                <w:color w:val="000000"/>
                <w:sz w:val="20"/>
                <w:szCs w:val="20"/>
                <w:lang w:val="en-US"/>
              </w:rPr>
              <w:t>2</w:t>
            </w:r>
          </w:p>
        </w:tc>
        <w:tc>
          <w:tcPr>
            <w:tcW w:w="1276" w:type="dxa"/>
            <w:tcBorders>
              <w:top w:val="nil"/>
              <w:left w:val="nil"/>
              <w:bottom w:val="single" w:sz="4" w:space="0" w:color="auto"/>
              <w:right w:val="single" w:sz="4" w:space="0" w:color="auto"/>
            </w:tcBorders>
            <w:shd w:val="clear" w:color="auto" w:fill="auto"/>
            <w:noWrap/>
            <w:vAlign w:val="center"/>
            <w:hideMark/>
          </w:tcPr>
          <w:p w14:paraId="72C8B296" w14:textId="77777777" w:rsidR="008860B3" w:rsidRPr="008860B3" w:rsidRDefault="008860B3" w:rsidP="00EF103D">
            <w:pPr>
              <w:spacing w:after="0" w:line="240" w:lineRule="auto"/>
              <w:jc w:val="center"/>
              <w:rPr>
                <w:rFonts w:ascii="Calibri" w:eastAsia="Times New Roman" w:hAnsi="Calibri" w:cs="Calibri"/>
                <w:color w:val="000000"/>
                <w:sz w:val="16"/>
                <w:szCs w:val="16"/>
                <w:lang w:val="en-US"/>
              </w:rPr>
            </w:pPr>
            <w:r w:rsidRPr="008860B3">
              <w:rPr>
                <w:rFonts w:ascii="Calibri" w:eastAsia="Times New Roman" w:hAnsi="Calibri" w:cs="Calibri"/>
                <w:color w:val="000000"/>
                <w:sz w:val="16"/>
                <w:szCs w:val="16"/>
                <w:lang w:val="en-US"/>
              </w:rPr>
              <w:t>10</w:t>
            </w:r>
          </w:p>
        </w:tc>
        <w:tc>
          <w:tcPr>
            <w:tcW w:w="4252" w:type="dxa"/>
            <w:tcBorders>
              <w:top w:val="nil"/>
              <w:left w:val="nil"/>
              <w:bottom w:val="single" w:sz="4" w:space="0" w:color="auto"/>
              <w:right w:val="single" w:sz="4" w:space="0" w:color="auto"/>
            </w:tcBorders>
            <w:shd w:val="clear" w:color="auto" w:fill="auto"/>
            <w:vAlign w:val="center"/>
            <w:hideMark/>
          </w:tcPr>
          <w:p w14:paraId="18782BE4" w14:textId="77777777" w:rsidR="008860B3" w:rsidRPr="008860B3" w:rsidRDefault="008860B3" w:rsidP="00EF103D">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SERVICIO DE ADAPTACIÓN, MOLDE Y AJUSTE DE APARATOS AUDITIVOS</w:t>
            </w:r>
          </w:p>
        </w:tc>
        <w:tc>
          <w:tcPr>
            <w:tcW w:w="1985" w:type="dxa"/>
            <w:tcBorders>
              <w:top w:val="nil"/>
              <w:left w:val="nil"/>
              <w:bottom w:val="single" w:sz="4" w:space="0" w:color="auto"/>
              <w:right w:val="single" w:sz="4" w:space="0" w:color="auto"/>
            </w:tcBorders>
            <w:shd w:val="clear" w:color="auto" w:fill="auto"/>
            <w:vAlign w:val="center"/>
            <w:hideMark/>
          </w:tcPr>
          <w:p w14:paraId="553885FF" w14:textId="77777777" w:rsidR="008860B3" w:rsidRPr="008860B3" w:rsidRDefault="008860B3" w:rsidP="00EF103D">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 </w:t>
            </w:r>
          </w:p>
        </w:tc>
        <w:tc>
          <w:tcPr>
            <w:tcW w:w="1559" w:type="dxa"/>
            <w:tcBorders>
              <w:top w:val="nil"/>
              <w:left w:val="nil"/>
              <w:bottom w:val="single" w:sz="4" w:space="0" w:color="auto"/>
              <w:right w:val="single" w:sz="4" w:space="0" w:color="auto"/>
            </w:tcBorders>
            <w:shd w:val="clear" w:color="auto" w:fill="auto"/>
            <w:vAlign w:val="center"/>
            <w:hideMark/>
          </w:tcPr>
          <w:p w14:paraId="74795C01" w14:textId="77777777" w:rsidR="008860B3" w:rsidRPr="008860B3" w:rsidRDefault="008860B3" w:rsidP="00EF103D">
            <w:pPr>
              <w:spacing w:after="0" w:line="240" w:lineRule="auto"/>
              <w:rPr>
                <w:rFonts w:ascii="Calibri" w:eastAsia="Times New Roman" w:hAnsi="Calibri" w:cs="Calibri"/>
                <w:sz w:val="16"/>
                <w:szCs w:val="16"/>
                <w:lang w:val="es-ES"/>
              </w:rPr>
            </w:pPr>
            <w:r w:rsidRPr="008860B3">
              <w:rPr>
                <w:rFonts w:ascii="Calibri" w:eastAsia="Times New Roman" w:hAnsi="Calibri" w:cs="Calibri"/>
                <w:sz w:val="16"/>
                <w:szCs w:val="16"/>
                <w:lang w:val="es-ES"/>
              </w:rPr>
              <w:t> </w:t>
            </w:r>
          </w:p>
        </w:tc>
      </w:tr>
    </w:tbl>
    <w:p w14:paraId="1A1A22C5" w14:textId="77777777" w:rsidR="008860B3" w:rsidRPr="008860B3" w:rsidRDefault="008860B3" w:rsidP="009037B2">
      <w:pPr>
        <w:spacing w:after="0"/>
        <w:jc w:val="both"/>
        <w:rPr>
          <w:rFonts w:ascii="Arial" w:hAnsi="Arial" w:cs="Arial"/>
          <w:sz w:val="20"/>
          <w:szCs w:val="20"/>
          <w:lang w:val="es-ES"/>
        </w:rPr>
      </w:pPr>
    </w:p>
    <w:p w14:paraId="20005037" w14:textId="77777777" w:rsidR="00A65B21" w:rsidRPr="008860B3" w:rsidRDefault="00A65B21" w:rsidP="00153210">
      <w:pPr>
        <w:spacing w:after="0"/>
        <w:jc w:val="both"/>
        <w:rPr>
          <w:rFonts w:ascii="Tahoma" w:hAnsi="Tahoma" w:cs="Tahoma"/>
          <w:lang w:val="es-ES"/>
        </w:rPr>
      </w:pPr>
    </w:p>
    <w:p w14:paraId="25B31DB3" w14:textId="2874B2E9" w:rsidR="00C463EA"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5318E463" w14:textId="6D7D00FA"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w:t>
      </w:r>
      <w:r w:rsidR="008860B3">
        <w:rPr>
          <w:rFonts w:ascii="Tahoma" w:hAnsi="Tahoma" w:cs="Tahoma"/>
        </w:rPr>
        <w:t>016</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3FCB89BB" w14:textId="77777777" w:rsidR="00FB72FA" w:rsidRDefault="00FB72FA" w:rsidP="00153210">
      <w:pPr>
        <w:spacing w:after="0"/>
        <w:jc w:val="both"/>
        <w:rPr>
          <w:rFonts w:ascii="Tahoma" w:hAnsi="Tahoma" w:cs="Tahoma"/>
        </w:rPr>
      </w:pPr>
    </w:p>
    <w:p w14:paraId="6A961C15" w14:textId="1C422814"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41B7B39"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31380B06" w14:textId="45224837" w:rsidR="002D6191" w:rsidRDefault="002D6191" w:rsidP="006E6DD3">
      <w:pPr>
        <w:spacing w:after="0"/>
        <w:jc w:val="both"/>
        <w:rPr>
          <w:rFonts w:ascii="Tahoma" w:hAnsi="Tahoma" w:cs="Tahoma"/>
          <w:b/>
          <w:sz w:val="18"/>
          <w:szCs w:val="18"/>
        </w:rPr>
      </w:pPr>
    </w:p>
    <w:p w14:paraId="5D88DBE7" w14:textId="3F050DD6" w:rsidR="002D6191" w:rsidRPr="002D6191"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78912D1E" w14:textId="77777777" w:rsidR="002D6191" w:rsidRDefault="002D6191" w:rsidP="000B16A4">
      <w:pPr>
        <w:spacing w:after="0" w:line="240" w:lineRule="auto"/>
        <w:jc w:val="both"/>
        <w:rPr>
          <w:rFonts w:ascii="Tahoma" w:eastAsia="Times New Roman" w:hAnsi="Tahoma" w:cs="Tahoma"/>
          <w:lang w:eastAsia="es-ES"/>
        </w:rPr>
      </w:pPr>
    </w:p>
    <w:p w14:paraId="12829EED" w14:textId="77777777" w:rsidR="002D6191" w:rsidRDefault="002D6191" w:rsidP="000B16A4">
      <w:pPr>
        <w:spacing w:after="0" w:line="240" w:lineRule="auto"/>
        <w:jc w:val="both"/>
        <w:rPr>
          <w:rFonts w:ascii="Tahoma" w:eastAsia="Times New Roman" w:hAnsi="Tahoma" w:cs="Tahoma"/>
          <w:lang w:eastAsia="es-ES"/>
        </w:rPr>
      </w:pPr>
    </w:p>
    <w:p w14:paraId="20BD21AC" w14:textId="77777777" w:rsidR="002D6191" w:rsidRDefault="002D6191" w:rsidP="000B16A4">
      <w:pPr>
        <w:spacing w:after="0" w:line="240" w:lineRule="auto"/>
        <w:jc w:val="both"/>
        <w:rPr>
          <w:rFonts w:ascii="Tahoma" w:eastAsia="Times New Roman" w:hAnsi="Tahoma" w:cs="Tahoma"/>
          <w:lang w:eastAsia="es-ES"/>
        </w:rPr>
      </w:pPr>
    </w:p>
    <w:p w14:paraId="612E7AC9" w14:textId="77777777" w:rsidR="002D6191" w:rsidRDefault="002D6191" w:rsidP="000B16A4">
      <w:pPr>
        <w:spacing w:after="0" w:line="240" w:lineRule="auto"/>
        <w:jc w:val="both"/>
        <w:rPr>
          <w:rFonts w:ascii="Tahoma" w:eastAsia="Times New Roman" w:hAnsi="Tahoma" w:cs="Tahoma"/>
          <w:lang w:eastAsia="es-ES"/>
        </w:rPr>
      </w:pPr>
    </w:p>
    <w:p w14:paraId="2048981D" w14:textId="38E0DF2F"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1EFEB9D8" w14:textId="6328BD99" w:rsidR="00A65B21" w:rsidRPr="004735D2" w:rsidRDefault="000B16A4" w:rsidP="00FB72FA">
      <w:pPr>
        <w:spacing w:after="0"/>
        <w:rPr>
          <w:rFonts w:ascii="Tahoma" w:hAnsi="Tahoma" w:cs="Tahoma"/>
        </w:rPr>
      </w:pPr>
      <w:r w:rsidRPr="00486161">
        <w:rPr>
          <w:rFonts w:ascii="Tahoma" w:hAnsi="Tahoma" w:cs="Tahoma"/>
        </w:rPr>
        <w:t>y/o su Representante Legal</w:t>
      </w:r>
    </w:p>
    <w:p w14:paraId="27DFE640" w14:textId="056AA1D4"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328532B6" w14:textId="77777777" w:rsidR="008860B3" w:rsidRPr="00513297" w:rsidRDefault="008860B3" w:rsidP="008860B3">
      <w:pPr>
        <w:spacing w:after="0" w:line="240" w:lineRule="auto"/>
        <w:jc w:val="center"/>
        <w:rPr>
          <w:rFonts w:ascii="Tahoma" w:hAnsi="Tahoma" w:cs="Tahoma"/>
          <w:b/>
        </w:rPr>
      </w:pPr>
      <w:r>
        <w:rPr>
          <w:rFonts w:ascii="Tahoma" w:hAnsi="Tahoma" w:cs="Tahoma"/>
          <w:b/>
        </w:rPr>
        <w:t>DIF-016</w:t>
      </w:r>
      <w:r w:rsidRPr="00796953">
        <w:rPr>
          <w:rFonts w:ascii="Tahoma" w:hAnsi="Tahoma" w:cs="Tahoma"/>
          <w:b/>
        </w:rPr>
        <w:t>/2021</w:t>
      </w:r>
    </w:p>
    <w:p w14:paraId="3AF731AE" w14:textId="77777777" w:rsidR="008860B3" w:rsidRDefault="008860B3" w:rsidP="008860B3">
      <w:pPr>
        <w:spacing w:after="0"/>
        <w:jc w:val="both"/>
        <w:rPr>
          <w:rFonts w:ascii="Tahoma" w:hAnsi="Tahoma" w:cs="Tahoma"/>
          <w:b/>
          <w:iCs/>
        </w:rPr>
      </w:pPr>
    </w:p>
    <w:p w14:paraId="3839B794" w14:textId="77777777" w:rsidR="008860B3" w:rsidRPr="00D55EDE" w:rsidRDefault="008860B3" w:rsidP="008860B3">
      <w:pPr>
        <w:spacing w:after="0"/>
        <w:jc w:val="center"/>
        <w:rPr>
          <w:rFonts w:ascii="Tahoma" w:hAnsi="Tahoma" w:cs="Tahoma"/>
          <w:b/>
        </w:rPr>
      </w:pPr>
      <w:r>
        <w:rPr>
          <w:rFonts w:ascii="Tahoma" w:hAnsi="Tahoma" w:cs="Tahoma"/>
          <w:b/>
        </w:rPr>
        <w:t xml:space="preserve">ADQUISICIÓN DE APARTADOS AUXILIARES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79221"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C3A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2717F"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1ED97"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34F9"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C82D3"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68948"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C68E9"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2E0E18" w:rsidRDefault="002E0E18"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2E0E18" w:rsidRDefault="002E0E18"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ED4A9"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0C11E"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6C880BD1" w14:textId="77777777" w:rsidR="00A65B21" w:rsidRDefault="000B16A4" w:rsidP="00A65B21">
      <w:pPr>
        <w:pStyle w:val="Textoindependiente"/>
        <w:rPr>
          <w:rFonts w:ascii="Tahoma" w:hAnsi="Tahoma" w:cs="Tahoma"/>
          <w:sz w:val="16"/>
          <w:szCs w:val="16"/>
        </w:rPr>
      </w:pPr>
      <w:r w:rsidRPr="002D6191">
        <w:rPr>
          <w:rFonts w:ascii="Tahoma" w:hAnsi="Tahoma" w:cs="Tahoma"/>
          <w:sz w:val="16"/>
          <w:szCs w:val="16"/>
        </w:rPr>
        <w:t>PROTESTO LO NECESARIO</w:t>
      </w:r>
    </w:p>
    <w:p w14:paraId="75B38041" w14:textId="5EAEA1F5" w:rsidR="00171DBF" w:rsidRDefault="000B16A4" w:rsidP="00A65B21">
      <w:pPr>
        <w:pStyle w:val="Textoindependiente"/>
        <w:rPr>
          <w:rFonts w:ascii="Tahoma" w:hAnsi="Tahoma" w:cs="Tahoma"/>
          <w:sz w:val="16"/>
          <w:szCs w:val="16"/>
        </w:rPr>
      </w:pPr>
      <w:r w:rsidRPr="002D6191">
        <w:rPr>
          <w:rFonts w:ascii="Tahoma" w:hAnsi="Tahoma" w:cs="Tahoma"/>
          <w:sz w:val="16"/>
          <w:szCs w:val="16"/>
        </w:rPr>
        <w:t xml:space="preserve">Nombre y firma del </w:t>
      </w:r>
      <w:r w:rsidRPr="002D6191">
        <w:rPr>
          <w:rFonts w:ascii="Tahoma" w:hAnsi="Tahoma" w:cs="Tahoma"/>
          <w:b/>
          <w:sz w:val="16"/>
          <w:szCs w:val="16"/>
        </w:rPr>
        <w:t>“LICITANTE”</w:t>
      </w:r>
    </w:p>
    <w:p w14:paraId="2ECBB27C" w14:textId="77777777" w:rsidR="00A65B21" w:rsidRPr="00A65B21" w:rsidRDefault="00A65B21" w:rsidP="00A65B21">
      <w:pPr>
        <w:pStyle w:val="Textoindependiente"/>
        <w:jc w:val="left"/>
        <w:rPr>
          <w:rFonts w:ascii="Tahoma" w:hAnsi="Tahoma" w:cs="Tahoma"/>
          <w:sz w:val="16"/>
          <w:szCs w:val="16"/>
        </w:rPr>
      </w:pPr>
    </w:p>
    <w:p w14:paraId="0284D857" w14:textId="77777777" w:rsidR="008860B3" w:rsidRDefault="008860B3" w:rsidP="000B16A4">
      <w:pPr>
        <w:pStyle w:val="Textoindependiente"/>
        <w:jc w:val="center"/>
        <w:rPr>
          <w:rFonts w:ascii="Tahoma" w:hAnsi="Tahoma" w:cs="Tahoma"/>
          <w:b/>
          <w:spacing w:val="60"/>
          <w:sz w:val="22"/>
          <w:szCs w:val="22"/>
        </w:rPr>
      </w:pPr>
    </w:p>
    <w:p w14:paraId="01B79333" w14:textId="77777777" w:rsidR="008860B3" w:rsidRDefault="008860B3" w:rsidP="000B16A4">
      <w:pPr>
        <w:pStyle w:val="Textoindependiente"/>
        <w:jc w:val="center"/>
        <w:rPr>
          <w:rFonts w:ascii="Tahoma" w:hAnsi="Tahoma" w:cs="Tahoma"/>
          <w:b/>
          <w:spacing w:val="60"/>
          <w:sz w:val="22"/>
          <w:szCs w:val="22"/>
        </w:rPr>
      </w:pPr>
    </w:p>
    <w:p w14:paraId="4F1C9F23" w14:textId="77777777" w:rsidR="008860B3" w:rsidRDefault="008860B3" w:rsidP="000B16A4">
      <w:pPr>
        <w:pStyle w:val="Textoindependiente"/>
        <w:jc w:val="center"/>
        <w:rPr>
          <w:rFonts w:ascii="Tahoma" w:hAnsi="Tahoma" w:cs="Tahoma"/>
          <w:b/>
          <w:spacing w:val="60"/>
          <w:sz w:val="22"/>
          <w:szCs w:val="22"/>
        </w:rPr>
      </w:pPr>
    </w:p>
    <w:p w14:paraId="11686FC7" w14:textId="77777777" w:rsidR="008860B3" w:rsidRDefault="008860B3" w:rsidP="000B16A4">
      <w:pPr>
        <w:pStyle w:val="Textoindependiente"/>
        <w:jc w:val="center"/>
        <w:rPr>
          <w:rFonts w:ascii="Tahoma" w:hAnsi="Tahoma" w:cs="Tahoma"/>
          <w:b/>
          <w:spacing w:val="60"/>
          <w:sz w:val="22"/>
          <w:szCs w:val="22"/>
        </w:rPr>
      </w:pPr>
    </w:p>
    <w:p w14:paraId="619CC2CD" w14:textId="77777777" w:rsidR="008860B3" w:rsidRDefault="008860B3" w:rsidP="000B16A4">
      <w:pPr>
        <w:pStyle w:val="Textoindependiente"/>
        <w:jc w:val="center"/>
        <w:rPr>
          <w:rFonts w:ascii="Tahoma" w:hAnsi="Tahoma" w:cs="Tahoma"/>
          <w:b/>
          <w:spacing w:val="60"/>
          <w:sz w:val="22"/>
          <w:szCs w:val="22"/>
        </w:rPr>
      </w:pPr>
    </w:p>
    <w:p w14:paraId="69136094" w14:textId="77777777" w:rsidR="008860B3" w:rsidRDefault="008860B3" w:rsidP="000B16A4">
      <w:pPr>
        <w:pStyle w:val="Textoindependiente"/>
        <w:jc w:val="center"/>
        <w:rPr>
          <w:rFonts w:ascii="Tahoma" w:hAnsi="Tahoma" w:cs="Tahoma"/>
          <w:b/>
          <w:spacing w:val="60"/>
          <w:sz w:val="22"/>
          <w:szCs w:val="22"/>
        </w:rPr>
      </w:pPr>
    </w:p>
    <w:p w14:paraId="546E9125" w14:textId="77777777" w:rsidR="008860B3" w:rsidRDefault="008860B3" w:rsidP="000B16A4">
      <w:pPr>
        <w:pStyle w:val="Textoindependiente"/>
        <w:jc w:val="center"/>
        <w:rPr>
          <w:rFonts w:ascii="Tahoma" w:hAnsi="Tahoma" w:cs="Tahoma"/>
          <w:b/>
          <w:spacing w:val="60"/>
          <w:sz w:val="22"/>
          <w:szCs w:val="22"/>
        </w:rPr>
      </w:pPr>
    </w:p>
    <w:p w14:paraId="7560B3ED" w14:textId="77777777" w:rsidR="008860B3" w:rsidRDefault="008860B3" w:rsidP="000B16A4">
      <w:pPr>
        <w:pStyle w:val="Textoindependiente"/>
        <w:jc w:val="center"/>
        <w:rPr>
          <w:rFonts w:ascii="Tahoma" w:hAnsi="Tahoma" w:cs="Tahoma"/>
          <w:b/>
          <w:spacing w:val="60"/>
          <w:sz w:val="22"/>
          <w:szCs w:val="22"/>
        </w:rPr>
      </w:pPr>
    </w:p>
    <w:p w14:paraId="036AC5CD" w14:textId="77777777" w:rsidR="008860B3" w:rsidRDefault="008860B3" w:rsidP="000B16A4">
      <w:pPr>
        <w:pStyle w:val="Textoindependiente"/>
        <w:jc w:val="center"/>
        <w:rPr>
          <w:rFonts w:ascii="Tahoma" w:hAnsi="Tahoma" w:cs="Tahoma"/>
          <w:b/>
          <w:spacing w:val="60"/>
          <w:sz w:val="22"/>
          <w:szCs w:val="22"/>
        </w:rPr>
      </w:pPr>
    </w:p>
    <w:p w14:paraId="52E850D3" w14:textId="77777777" w:rsidR="008860B3" w:rsidRDefault="008860B3" w:rsidP="000B16A4">
      <w:pPr>
        <w:pStyle w:val="Textoindependiente"/>
        <w:jc w:val="center"/>
        <w:rPr>
          <w:rFonts w:ascii="Tahoma" w:hAnsi="Tahoma" w:cs="Tahoma"/>
          <w:b/>
          <w:spacing w:val="60"/>
          <w:sz w:val="22"/>
          <w:szCs w:val="22"/>
        </w:rPr>
      </w:pPr>
    </w:p>
    <w:p w14:paraId="2FAC3079" w14:textId="77777777" w:rsidR="008860B3" w:rsidRDefault="008860B3" w:rsidP="000B16A4">
      <w:pPr>
        <w:pStyle w:val="Textoindependiente"/>
        <w:jc w:val="center"/>
        <w:rPr>
          <w:rFonts w:ascii="Tahoma" w:hAnsi="Tahoma" w:cs="Tahoma"/>
          <w:b/>
          <w:spacing w:val="60"/>
          <w:sz w:val="22"/>
          <w:szCs w:val="22"/>
        </w:rPr>
      </w:pPr>
    </w:p>
    <w:p w14:paraId="5DA36FF1" w14:textId="77777777" w:rsidR="008860B3" w:rsidRDefault="008860B3" w:rsidP="000B16A4">
      <w:pPr>
        <w:pStyle w:val="Textoindependiente"/>
        <w:jc w:val="center"/>
        <w:rPr>
          <w:rFonts w:ascii="Tahoma" w:hAnsi="Tahoma" w:cs="Tahoma"/>
          <w:b/>
          <w:spacing w:val="60"/>
          <w:sz w:val="22"/>
          <w:szCs w:val="22"/>
        </w:rPr>
      </w:pPr>
    </w:p>
    <w:p w14:paraId="4AB15BE1" w14:textId="77777777" w:rsidR="008860B3" w:rsidRDefault="008860B3" w:rsidP="000B16A4">
      <w:pPr>
        <w:pStyle w:val="Textoindependiente"/>
        <w:jc w:val="center"/>
        <w:rPr>
          <w:rFonts w:ascii="Tahoma" w:hAnsi="Tahoma" w:cs="Tahoma"/>
          <w:b/>
          <w:spacing w:val="60"/>
          <w:sz w:val="22"/>
          <w:szCs w:val="22"/>
        </w:rPr>
      </w:pPr>
    </w:p>
    <w:p w14:paraId="52C2537C" w14:textId="77777777" w:rsidR="008860B3" w:rsidRDefault="008860B3" w:rsidP="000B16A4">
      <w:pPr>
        <w:pStyle w:val="Textoindependiente"/>
        <w:jc w:val="center"/>
        <w:rPr>
          <w:rFonts w:ascii="Tahoma" w:hAnsi="Tahoma" w:cs="Tahoma"/>
          <w:b/>
          <w:spacing w:val="60"/>
          <w:sz w:val="22"/>
          <w:szCs w:val="22"/>
        </w:rPr>
      </w:pPr>
    </w:p>
    <w:p w14:paraId="37E84247" w14:textId="77777777" w:rsidR="008860B3" w:rsidRDefault="008860B3" w:rsidP="000B16A4">
      <w:pPr>
        <w:pStyle w:val="Textoindependiente"/>
        <w:jc w:val="center"/>
        <w:rPr>
          <w:rFonts w:ascii="Tahoma" w:hAnsi="Tahoma" w:cs="Tahoma"/>
          <w:b/>
          <w:spacing w:val="60"/>
          <w:sz w:val="22"/>
          <w:szCs w:val="22"/>
        </w:rPr>
      </w:pPr>
    </w:p>
    <w:p w14:paraId="678EFC73" w14:textId="77777777" w:rsidR="008860B3" w:rsidRDefault="008860B3" w:rsidP="000B16A4">
      <w:pPr>
        <w:pStyle w:val="Textoindependiente"/>
        <w:jc w:val="center"/>
        <w:rPr>
          <w:rFonts w:ascii="Tahoma" w:hAnsi="Tahoma" w:cs="Tahoma"/>
          <w:b/>
          <w:spacing w:val="60"/>
          <w:sz w:val="22"/>
          <w:szCs w:val="22"/>
        </w:rPr>
      </w:pPr>
    </w:p>
    <w:p w14:paraId="43512833" w14:textId="77777777" w:rsidR="008860B3" w:rsidRDefault="008860B3" w:rsidP="000B16A4">
      <w:pPr>
        <w:pStyle w:val="Textoindependiente"/>
        <w:jc w:val="center"/>
        <w:rPr>
          <w:rFonts w:ascii="Tahoma" w:hAnsi="Tahoma" w:cs="Tahoma"/>
          <w:b/>
          <w:spacing w:val="60"/>
          <w:sz w:val="22"/>
          <w:szCs w:val="22"/>
        </w:rPr>
      </w:pPr>
    </w:p>
    <w:p w14:paraId="73E650D2" w14:textId="77777777" w:rsidR="008860B3" w:rsidRDefault="008860B3" w:rsidP="000B16A4">
      <w:pPr>
        <w:pStyle w:val="Textoindependiente"/>
        <w:jc w:val="center"/>
        <w:rPr>
          <w:rFonts w:ascii="Tahoma" w:hAnsi="Tahoma" w:cs="Tahoma"/>
          <w:b/>
          <w:spacing w:val="60"/>
          <w:sz w:val="22"/>
          <w:szCs w:val="22"/>
        </w:rPr>
      </w:pPr>
    </w:p>
    <w:p w14:paraId="28672E73" w14:textId="77777777" w:rsidR="008860B3" w:rsidRDefault="008860B3" w:rsidP="000B16A4">
      <w:pPr>
        <w:pStyle w:val="Textoindependiente"/>
        <w:jc w:val="center"/>
        <w:rPr>
          <w:rFonts w:ascii="Tahoma" w:hAnsi="Tahoma" w:cs="Tahoma"/>
          <w:b/>
          <w:spacing w:val="60"/>
          <w:sz w:val="22"/>
          <w:szCs w:val="22"/>
        </w:rPr>
      </w:pPr>
    </w:p>
    <w:p w14:paraId="54501C59" w14:textId="77777777" w:rsidR="008860B3" w:rsidRDefault="008860B3" w:rsidP="000B16A4">
      <w:pPr>
        <w:pStyle w:val="Textoindependiente"/>
        <w:jc w:val="center"/>
        <w:rPr>
          <w:rFonts w:ascii="Tahoma" w:hAnsi="Tahoma" w:cs="Tahoma"/>
          <w:b/>
          <w:spacing w:val="60"/>
          <w:sz w:val="22"/>
          <w:szCs w:val="22"/>
        </w:rPr>
      </w:pPr>
    </w:p>
    <w:p w14:paraId="4103172F" w14:textId="77777777" w:rsidR="008860B3" w:rsidRDefault="008860B3" w:rsidP="000B16A4">
      <w:pPr>
        <w:pStyle w:val="Textoindependiente"/>
        <w:jc w:val="center"/>
        <w:rPr>
          <w:rFonts w:ascii="Tahoma" w:hAnsi="Tahoma" w:cs="Tahoma"/>
          <w:b/>
          <w:spacing w:val="60"/>
          <w:sz w:val="22"/>
          <w:szCs w:val="22"/>
        </w:rPr>
      </w:pPr>
    </w:p>
    <w:p w14:paraId="0CF7783A" w14:textId="77777777" w:rsidR="008860B3" w:rsidRDefault="008860B3" w:rsidP="000B16A4">
      <w:pPr>
        <w:pStyle w:val="Textoindependiente"/>
        <w:jc w:val="center"/>
        <w:rPr>
          <w:rFonts w:ascii="Tahoma" w:hAnsi="Tahoma" w:cs="Tahoma"/>
          <w:b/>
          <w:spacing w:val="60"/>
          <w:sz w:val="22"/>
          <w:szCs w:val="22"/>
        </w:rPr>
      </w:pPr>
    </w:p>
    <w:p w14:paraId="62A8979C" w14:textId="77777777" w:rsidR="008860B3" w:rsidRDefault="008860B3" w:rsidP="000B16A4">
      <w:pPr>
        <w:pStyle w:val="Textoindependiente"/>
        <w:jc w:val="center"/>
        <w:rPr>
          <w:rFonts w:ascii="Tahoma" w:hAnsi="Tahoma" w:cs="Tahoma"/>
          <w:b/>
          <w:spacing w:val="60"/>
          <w:sz w:val="22"/>
          <w:szCs w:val="22"/>
        </w:rPr>
      </w:pPr>
    </w:p>
    <w:p w14:paraId="3E07E2D9" w14:textId="77777777" w:rsidR="008860B3" w:rsidRDefault="008860B3" w:rsidP="000B16A4">
      <w:pPr>
        <w:pStyle w:val="Textoindependiente"/>
        <w:jc w:val="center"/>
        <w:rPr>
          <w:rFonts w:ascii="Tahoma" w:hAnsi="Tahoma" w:cs="Tahoma"/>
          <w:b/>
          <w:spacing w:val="60"/>
          <w:sz w:val="22"/>
          <w:szCs w:val="22"/>
        </w:rPr>
      </w:pPr>
    </w:p>
    <w:p w14:paraId="7C19083A" w14:textId="77777777" w:rsidR="008860B3" w:rsidRDefault="008860B3" w:rsidP="000B16A4">
      <w:pPr>
        <w:pStyle w:val="Textoindependiente"/>
        <w:jc w:val="center"/>
        <w:rPr>
          <w:rFonts w:ascii="Tahoma" w:hAnsi="Tahoma" w:cs="Tahoma"/>
          <w:b/>
          <w:spacing w:val="60"/>
          <w:sz w:val="22"/>
          <w:szCs w:val="22"/>
        </w:rPr>
      </w:pPr>
    </w:p>
    <w:p w14:paraId="44FE0451" w14:textId="77777777" w:rsidR="008860B3" w:rsidRDefault="008860B3" w:rsidP="000B16A4">
      <w:pPr>
        <w:pStyle w:val="Textoindependiente"/>
        <w:jc w:val="center"/>
        <w:rPr>
          <w:rFonts w:ascii="Tahoma" w:hAnsi="Tahoma" w:cs="Tahoma"/>
          <w:b/>
          <w:spacing w:val="60"/>
          <w:sz w:val="22"/>
          <w:szCs w:val="22"/>
        </w:rPr>
      </w:pPr>
    </w:p>
    <w:p w14:paraId="221860A4" w14:textId="77777777" w:rsidR="008860B3" w:rsidRDefault="008860B3" w:rsidP="000B16A4">
      <w:pPr>
        <w:pStyle w:val="Textoindependiente"/>
        <w:jc w:val="center"/>
        <w:rPr>
          <w:rFonts w:ascii="Tahoma" w:hAnsi="Tahoma" w:cs="Tahoma"/>
          <w:b/>
          <w:spacing w:val="60"/>
          <w:sz w:val="22"/>
          <w:szCs w:val="22"/>
        </w:rPr>
      </w:pPr>
    </w:p>
    <w:p w14:paraId="65FC4802" w14:textId="77777777" w:rsidR="008860B3" w:rsidRDefault="008860B3" w:rsidP="000B16A4">
      <w:pPr>
        <w:pStyle w:val="Textoindependiente"/>
        <w:jc w:val="center"/>
        <w:rPr>
          <w:rFonts w:ascii="Tahoma" w:hAnsi="Tahoma" w:cs="Tahoma"/>
          <w:b/>
          <w:spacing w:val="60"/>
          <w:sz w:val="22"/>
          <w:szCs w:val="22"/>
        </w:rPr>
      </w:pPr>
    </w:p>
    <w:p w14:paraId="1293094B" w14:textId="77777777" w:rsidR="008860B3" w:rsidRDefault="008860B3" w:rsidP="000B16A4">
      <w:pPr>
        <w:pStyle w:val="Textoindependiente"/>
        <w:jc w:val="center"/>
        <w:rPr>
          <w:rFonts w:ascii="Tahoma" w:hAnsi="Tahoma" w:cs="Tahoma"/>
          <w:b/>
          <w:spacing w:val="60"/>
          <w:sz w:val="22"/>
          <w:szCs w:val="22"/>
        </w:rPr>
      </w:pPr>
    </w:p>
    <w:p w14:paraId="6F94CAC3" w14:textId="77777777" w:rsidR="008860B3" w:rsidRDefault="008860B3" w:rsidP="000B16A4">
      <w:pPr>
        <w:pStyle w:val="Textoindependiente"/>
        <w:jc w:val="center"/>
        <w:rPr>
          <w:rFonts w:ascii="Tahoma" w:hAnsi="Tahoma" w:cs="Tahoma"/>
          <w:b/>
          <w:spacing w:val="60"/>
          <w:sz w:val="22"/>
          <w:szCs w:val="22"/>
        </w:rPr>
      </w:pPr>
    </w:p>
    <w:p w14:paraId="402CD2A8" w14:textId="77777777" w:rsidR="008860B3" w:rsidRDefault="008860B3" w:rsidP="000B16A4">
      <w:pPr>
        <w:pStyle w:val="Textoindependiente"/>
        <w:jc w:val="center"/>
        <w:rPr>
          <w:rFonts w:ascii="Tahoma" w:hAnsi="Tahoma" w:cs="Tahoma"/>
          <w:b/>
          <w:spacing w:val="60"/>
          <w:sz w:val="22"/>
          <w:szCs w:val="22"/>
        </w:rPr>
      </w:pPr>
    </w:p>
    <w:p w14:paraId="116F3D88" w14:textId="77777777" w:rsidR="008860B3" w:rsidRDefault="008860B3" w:rsidP="000B16A4">
      <w:pPr>
        <w:pStyle w:val="Textoindependiente"/>
        <w:jc w:val="center"/>
        <w:rPr>
          <w:rFonts w:ascii="Tahoma" w:hAnsi="Tahoma" w:cs="Tahoma"/>
          <w:b/>
          <w:spacing w:val="60"/>
          <w:sz w:val="22"/>
          <w:szCs w:val="22"/>
        </w:rPr>
      </w:pPr>
    </w:p>
    <w:p w14:paraId="46683525" w14:textId="77777777" w:rsidR="008860B3" w:rsidRDefault="008860B3" w:rsidP="000B16A4">
      <w:pPr>
        <w:pStyle w:val="Textoindependiente"/>
        <w:jc w:val="center"/>
        <w:rPr>
          <w:rFonts w:ascii="Tahoma" w:hAnsi="Tahoma" w:cs="Tahoma"/>
          <w:b/>
          <w:spacing w:val="60"/>
          <w:sz w:val="22"/>
          <w:szCs w:val="22"/>
        </w:rPr>
      </w:pPr>
    </w:p>
    <w:p w14:paraId="5006B364" w14:textId="77777777" w:rsidR="008860B3" w:rsidRDefault="008860B3" w:rsidP="000B16A4">
      <w:pPr>
        <w:pStyle w:val="Textoindependiente"/>
        <w:jc w:val="center"/>
        <w:rPr>
          <w:rFonts w:ascii="Tahoma" w:hAnsi="Tahoma" w:cs="Tahoma"/>
          <w:b/>
          <w:spacing w:val="60"/>
          <w:sz w:val="22"/>
          <w:szCs w:val="22"/>
        </w:rPr>
      </w:pPr>
    </w:p>
    <w:p w14:paraId="19F18268" w14:textId="77777777" w:rsidR="008860B3" w:rsidRDefault="008860B3" w:rsidP="000B16A4">
      <w:pPr>
        <w:pStyle w:val="Textoindependiente"/>
        <w:jc w:val="center"/>
        <w:rPr>
          <w:rFonts w:ascii="Tahoma" w:hAnsi="Tahoma" w:cs="Tahoma"/>
          <w:b/>
          <w:spacing w:val="60"/>
          <w:sz w:val="22"/>
          <w:szCs w:val="22"/>
        </w:rPr>
      </w:pPr>
    </w:p>
    <w:p w14:paraId="39ACD0AA" w14:textId="77777777" w:rsidR="008860B3" w:rsidRDefault="008860B3" w:rsidP="000B16A4">
      <w:pPr>
        <w:pStyle w:val="Textoindependiente"/>
        <w:jc w:val="center"/>
        <w:rPr>
          <w:rFonts w:ascii="Tahoma" w:hAnsi="Tahoma" w:cs="Tahoma"/>
          <w:b/>
          <w:spacing w:val="60"/>
          <w:sz w:val="22"/>
          <w:szCs w:val="22"/>
        </w:rPr>
      </w:pPr>
    </w:p>
    <w:p w14:paraId="49B2B071" w14:textId="77777777" w:rsidR="008860B3" w:rsidRDefault="008860B3" w:rsidP="000B16A4">
      <w:pPr>
        <w:pStyle w:val="Textoindependiente"/>
        <w:jc w:val="center"/>
        <w:rPr>
          <w:rFonts w:ascii="Tahoma" w:hAnsi="Tahoma" w:cs="Tahoma"/>
          <w:b/>
          <w:spacing w:val="60"/>
          <w:sz w:val="22"/>
          <w:szCs w:val="22"/>
        </w:rPr>
      </w:pPr>
    </w:p>
    <w:p w14:paraId="0C39798A" w14:textId="77777777" w:rsidR="008860B3" w:rsidRDefault="008860B3" w:rsidP="000B16A4">
      <w:pPr>
        <w:pStyle w:val="Textoindependiente"/>
        <w:jc w:val="center"/>
        <w:rPr>
          <w:rFonts w:ascii="Tahoma" w:hAnsi="Tahoma" w:cs="Tahoma"/>
          <w:b/>
          <w:spacing w:val="60"/>
          <w:sz w:val="22"/>
          <w:szCs w:val="22"/>
        </w:rPr>
      </w:pPr>
    </w:p>
    <w:p w14:paraId="288716AD" w14:textId="40AEC7F3"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20BF5B1C" w14:textId="77777777" w:rsidR="008860B3" w:rsidRPr="00513297" w:rsidRDefault="008860B3" w:rsidP="008860B3">
      <w:pPr>
        <w:spacing w:after="0" w:line="240" w:lineRule="auto"/>
        <w:jc w:val="center"/>
        <w:rPr>
          <w:rFonts w:ascii="Tahoma" w:hAnsi="Tahoma" w:cs="Tahoma"/>
          <w:b/>
        </w:rPr>
      </w:pPr>
      <w:r>
        <w:rPr>
          <w:rFonts w:ascii="Tahoma" w:hAnsi="Tahoma" w:cs="Tahoma"/>
          <w:b/>
        </w:rPr>
        <w:t>DIF-016</w:t>
      </w:r>
      <w:r w:rsidRPr="00796953">
        <w:rPr>
          <w:rFonts w:ascii="Tahoma" w:hAnsi="Tahoma" w:cs="Tahoma"/>
          <w:b/>
        </w:rPr>
        <w:t>/2021</w:t>
      </w:r>
    </w:p>
    <w:p w14:paraId="6816F35F" w14:textId="77777777" w:rsidR="008860B3" w:rsidRDefault="008860B3" w:rsidP="008860B3">
      <w:pPr>
        <w:spacing w:after="0"/>
        <w:jc w:val="both"/>
        <w:rPr>
          <w:rFonts w:ascii="Tahoma" w:hAnsi="Tahoma" w:cs="Tahoma"/>
          <w:b/>
          <w:iCs/>
        </w:rPr>
      </w:pPr>
    </w:p>
    <w:p w14:paraId="5383782D" w14:textId="77777777" w:rsidR="008860B3" w:rsidRPr="00D55EDE" w:rsidRDefault="008860B3" w:rsidP="008860B3">
      <w:pPr>
        <w:spacing w:after="0"/>
        <w:jc w:val="center"/>
        <w:rPr>
          <w:rFonts w:ascii="Tahoma" w:hAnsi="Tahoma" w:cs="Tahoma"/>
          <w:b/>
        </w:rPr>
      </w:pPr>
      <w:r>
        <w:rPr>
          <w:rFonts w:ascii="Tahoma" w:hAnsi="Tahoma" w:cs="Tahoma"/>
          <w:b/>
        </w:rPr>
        <w:t xml:space="preserve">ADQUISICIÓN DE APARTADOS AUXILIARES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77777777" w:rsidR="00171DBF" w:rsidRDefault="00171DBF"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37CA4FEE" w14:textId="77777777" w:rsidR="008860B3" w:rsidRPr="00513297" w:rsidRDefault="008860B3" w:rsidP="008860B3">
      <w:pPr>
        <w:spacing w:after="0" w:line="240" w:lineRule="auto"/>
        <w:jc w:val="center"/>
        <w:rPr>
          <w:rFonts w:ascii="Tahoma" w:hAnsi="Tahoma" w:cs="Tahoma"/>
          <w:b/>
        </w:rPr>
      </w:pPr>
      <w:r>
        <w:rPr>
          <w:rFonts w:ascii="Tahoma" w:hAnsi="Tahoma" w:cs="Tahoma"/>
          <w:b/>
        </w:rPr>
        <w:t>DIF-016</w:t>
      </w:r>
      <w:r w:rsidRPr="00796953">
        <w:rPr>
          <w:rFonts w:ascii="Tahoma" w:hAnsi="Tahoma" w:cs="Tahoma"/>
          <w:b/>
        </w:rPr>
        <w:t>/2021</w:t>
      </w:r>
    </w:p>
    <w:p w14:paraId="6769302E" w14:textId="77777777" w:rsidR="008860B3" w:rsidRDefault="008860B3" w:rsidP="008860B3">
      <w:pPr>
        <w:spacing w:after="0"/>
        <w:jc w:val="both"/>
        <w:rPr>
          <w:rFonts w:ascii="Tahoma" w:hAnsi="Tahoma" w:cs="Tahoma"/>
          <w:b/>
          <w:iCs/>
        </w:rPr>
      </w:pPr>
    </w:p>
    <w:p w14:paraId="496A42EE" w14:textId="77777777" w:rsidR="008860B3" w:rsidRPr="00D55EDE" w:rsidRDefault="008860B3" w:rsidP="008860B3">
      <w:pPr>
        <w:spacing w:after="0"/>
        <w:jc w:val="center"/>
        <w:rPr>
          <w:rFonts w:ascii="Tahoma" w:hAnsi="Tahoma" w:cs="Tahoma"/>
          <w:b/>
        </w:rPr>
      </w:pPr>
      <w:r>
        <w:rPr>
          <w:rFonts w:ascii="Tahoma" w:hAnsi="Tahoma" w:cs="Tahoma"/>
          <w:b/>
        </w:rPr>
        <w:t xml:space="preserve">ADQUISICIÓN DE APARTADOS AUXILIARES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0A45F196" w14:textId="2C286CDD" w:rsidR="00A65B21" w:rsidRPr="00A65B21" w:rsidRDefault="00A65B21" w:rsidP="00A65B21">
      <w:pPr>
        <w:spacing w:after="0"/>
        <w:jc w:val="center"/>
        <w:rPr>
          <w:rFonts w:ascii="Tahoma" w:hAnsi="Tahoma" w:cs="Tahoma"/>
          <w:b/>
          <w:sz w:val="20"/>
          <w:szCs w:val="20"/>
        </w:rPr>
      </w:pPr>
      <w:bookmarkStart w:id="0" w:name="_GoBack"/>
      <w:bookmarkEnd w:id="0"/>
      <w:r w:rsidRPr="00A65B21">
        <w:rPr>
          <w:rFonts w:ascii="Tahoma" w:hAnsi="Tahoma" w:cs="Tahoma"/>
          <w:b/>
          <w:sz w:val="20"/>
          <w:szCs w:val="20"/>
        </w:rPr>
        <w:t>.</w:t>
      </w: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83F6" w14:textId="77777777" w:rsidR="00571091" w:rsidRDefault="00571091">
      <w:pPr>
        <w:spacing w:after="0" w:line="240" w:lineRule="auto"/>
      </w:pPr>
      <w:r>
        <w:separator/>
      </w:r>
    </w:p>
  </w:endnote>
  <w:endnote w:type="continuationSeparator" w:id="0">
    <w:p w14:paraId="1FC61F53" w14:textId="77777777" w:rsidR="00571091" w:rsidRDefault="0057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67588339" w:rsidR="002E0E18" w:rsidRDefault="002E0E18">
        <w:pPr>
          <w:pStyle w:val="Piedepgina"/>
          <w:jc w:val="right"/>
        </w:pPr>
        <w:r>
          <w:fldChar w:fldCharType="begin"/>
        </w:r>
        <w:r>
          <w:instrText>PAGE   \* MERGEFORMAT</w:instrText>
        </w:r>
        <w:r>
          <w:fldChar w:fldCharType="separate"/>
        </w:r>
        <w:r w:rsidR="008860B3">
          <w:rPr>
            <w:noProof/>
          </w:rPr>
          <w:t>25</w:t>
        </w:r>
        <w:r>
          <w:rPr>
            <w:noProof/>
          </w:rPr>
          <w:fldChar w:fldCharType="end"/>
        </w:r>
      </w:p>
    </w:sdtContent>
  </w:sdt>
  <w:p w14:paraId="59AE45CE" w14:textId="77777777" w:rsidR="002E0E18" w:rsidRDefault="002E0E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6DED" w14:textId="77777777" w:rsidR="00571091" w:rsidRDefault="00571091">
      <w:pPr>
        <w:spacing w:after="0" w:line="240" w:lineRule="auto"/>
      </w:pPr>
      <w:r>
        <w:separator/>
      </w:r>
    </w:p>
  </w:footnote>
  <w:footnote w:type="continuationSeparator" w:id="0">
    <w:p w14:paraId="425B2BFA" w14:textId="77777777" w:rsidR="00571091" w:rsidRDefault="0057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2E0E18" w:rsidRDefault="002E0E18">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2E0E18" w:rsidRDefault="002E0E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2B9A"/>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DA3D7-5896-41E7-B997-34AACA26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25</Pages>
  <Words>8002</Words>
  <Characters>45612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32</cp:revision>
  <cp:lastPrinted>2021-11-03T14:06:00Z</cp:lastPrinted>
  <dcterms:created xsi:type="dcterms:W3CDTF">2021-08-03T17:25:00Z</dcterms:created>
  <dcterms:modified xsi:type="dcterms:W3CDTF">2021-11-29T22:36:00Z</dcterms:modified>
</cp:coreProperties>
</file>